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400" w:lineRule="exact"/>
        <w:jc w:val="center"/>
        <w:rPr>
          <w:rFonts w:ascii="Times New Roman" w:hAnsi="Times New Roman"/>
          <w:color w:val="000000"/>
          <w:highlight w:val="none"/>
        </w:rPr>
      </w:pPr>
    </w:p>
    <w:p>
      <w:pPr>
        <w:spacing w:line="400" w:lineRule="exact"/>
        <w:jc w:val="center"/>
        <w:rPr>
          <w:rFonts w:ascii="Times New Roman" w:hAnsi="Times New Roman"/>
          <w:color w:val="000000"/>
          <w:highlight w:val="none"/>
        </w:rPr>
      </w:pPr>
    </w:p>
    <w:p>
      <w:pPr>
        <w:spacing w:line="400" w:lineRule="exact"/>
        <w:jc w:val="center"/>
        <w:rPr>
          <w:rFonts w:ascii="Times New Roman" w:hAnsi="Times New Roman"/>
          <w:color w:val="000000"/>
          <w:highlight w:val="none"/>
        </w:rPr>
      </w:pPr>
    </w:p>
    <w:p>
      <w:pPr>
        <w:spacing w:line="400" w:lineRule="exact"/>
        <w:jc w:val="center"/>
        <w:rPr>
          <w:rFonts w:ascii="Times New Roman" w:hAnsi="Times New Roman"/>
          <w:color w:val="000000"/>
          <w:highlight w:val="none"/>
        </w:rPr>
      </w:pPr>
    </w:p>
    <w:p>
      <w:pPr>
        <w:jc w:val="center"/>
        <w:rPr>
          <w:rFonts w:ascii="方正黑体简体" w:hAnsi="方正黑体简体" w:eastAsia="方正黑体简体" w:cs="方正黑体简体"/>
          <w:bCs/>
          <w:sz w:val="52"/>
          <w:szCs w:val="52"/>
          <w:highlight w:val="none"/>
        </w:rPr>
      </w:pPr>
      <w:r>
        <w:rPr>
          <w:rFonts w:hint="eastAsia" w:ascii="方正黑体简体" w:hAnsi="方正黑体简体" w:eastAsia="方正黑体简体" w:cs="方正黑体简体"/>
          <w:bCs/>
          <w:sz w:val="52"/>
          <w:szCs w:val="52"/>
          <w:highlight w:val="none"/>
        </w:rPr>
        <w:t>西藏自治区水利工程建设项目</w:t>
      </w:r>
    </w:p>
    <w:p>
      <w:pPr>
        <w:jc w:val="center"/>
        <w:rPr>
          <w:rFonts w:ascii="方正黑体简体" w:hAnsi="方正黑体简体" w:eastAsia="方正黑体简体" w:cs="方正黑体简体"/>
          <w:bCs/>
          <w:sz w:val="52"/>
          <w:szCs w:val="52"/>
          <w:highlight w:val="none"/>
        </w:rPr>
      </w:pPr>
      <w:r>
        <w:rPr>
          <w:rFonts w:ascii="方正黑体简体" w:hAnsi="方正黑体简体" w:eastAsia="方正黑体简体" w:cs="方正黑体简体"/>
          <w:bCs/>
          <w:sz w:val="52"/>
          <w:szCs w:val="52"/>
          <w:highlight w:val="none"/>
        </w:rPr>
        <w:t>标准材料采购电子招标文件</w:t>
      </w:r>
    </w:p>
    <w:p>
      <w:pPr>
        <w:jc w:val="center"/>
        <w:rPr>
          <w:rFonts w:ascii="方正黑体简体" w:hAnsi="方正黑体简体" w:eastAsia="方正黑体简体" w:cs="方正黑体简体"/>
          <w:bCs/>
          <w:sz w:val="52"/>
          <w:szCs w:val="52"/>
          <w:highlight w:val="none"/>
        </w:rPr>
      </w:pPr>
      <w:r>
        <w:rPr>
          <w:rFonts w:ascii="方正黑体简体" w:hAnsi="方正黑体简体" w:eastAsia="方正黑体简体" w:cs="方正黑体简体"/>
          <w:bCs/>
          <w:sz w:val="52"/>
          <w:szCs w:val="52"/>
          <w:highlight w:val="none"/>
        </w:rPr>
        <w:t>（20</w:t>
      </w:r>
      <w:r>
        <w:rPr>
          <w:rFonts w:hint="eastAsia" w:ascii="方正黑体简体" w:hAnsi="方正黑体简体" w:eastAsia="方正黑体简体" w:cs="方正黑体简体"/>
          <w:bCs/>
          <w:sz w:val="52"/>
          <w:szCs w:val="52"/>
          <w:highlight w:val="none"/>
        </w:rPr>
        <w:t>2</w:t>
      </w:r>
      <w:r>
        <w:rPr>
          <w:rFonts w:hint="eastAsia" w:ascii="方正黑体简体" w:hAnsi="方正黑体简体" w:eastAsia="方正黑体简体" w:cs="方正黑体简体"/>
          <w:bCs/>
          <w:sz w:val="52"/>
          <w:szCs w:val="52"/>
          <w:highlight w:val="none"/>
          <w:lang w:val="en-US" w:eastAsia="zh-CN"/>
        </w:rPr>
        <w:t>4</w:t>
      </w:r>
      <w:r>
        <w:rPr>
          <w:rFonts w:ascii="方正黑体简体" w:hAnsi="方正黑体简体" w:eastAsia="方正黑体简体" w:cs="方正黑体简体"/>
          <w:bCs/>
          <w:sz w:val="52"/>
          <w:szCs w:val="52"/>
          <w:highlight w:val="none"/>
        </w:rPr>
        <w:t>年版）</w:t>
      </w:r>
    </w:p>
    <w:p>
      <w:pPr>
        <w:jc w:val="center"/>
        <w:rPr>
          <w:rFonts w:ascii="Times New Roman" w:hAnsi="Times New Roman" w:eastAsia="黑体"/>
          <w:sz w:val="72"/>
          <w:highlight w:val="none"/>
        </w:rPr>
      </w:pPr>
    </w:p>
    <w:p>
      <w:pPr>
        <w:spacing w:line="400" w:lineRule="exact"/>
        <w:jc w:val="center"/>
        <w:rPr>
          <w:rFonts w:ascii="Times New Roman" w:hAnsi="Times New Roman"/>
          <w:color w:val="000000"/>
          <w:highlight w:val="none"/>
        </w:rPr>
      </w:pPr>
    </w:p>
    <w:p>
      <w:pPr>
        <w:spacing w:line="400" w:lineRule="exact"/>
        <w:jc w:val="center"/>
        <w:rPr>
          <w:rFonts w:ascii="Times New Roman" w:hAnsi="Times New Roman"/>
          <w:color w:val="000000"/>
          <w:highlight w:val="none"/>
        </w:rPr>
      </w:pPr>
    </w:p>
    <w:p>
      <w:pPr>
        <w:spacing w:line="400" w:lineRule="exact"/>
        <w:jc w:val="center"/>
        <w:rPr>
          <w:rFonts w:ascii="Times New Roman" w:hAnsi="Times New Roman"/>
          <w:color w:val="000000"/>
          <w:highlight w:val="none"/>
        </w:rPr>
      </w:pPr>
    </w:p>
    <w:p>
      <w:pPr>
        <w:spacing w:line="400" w:lineRule="exact"/>
        <w:jc w:val="center"/>
        <w:rPr>
          <w:rFonts w:ascii="Times New Roman" w:hAnsi="Times New Roman"/>
          <w:color w:val="000000"/>
          <w:highlight w:val="none"/>
        </w:rPr>
      </w:pPr>
    </w:p>
    <w:p>
      <w:pPr>
        <w:spacing w:line="400" w:lineRule="exact"/>
        <w:jc w:val="center"/>
        <w:rPr>
          <w:rFonts w:ascii="Times New Roman" w:hAnsi="Times New Roman"/>
          <w:color w:val="000000"/>
          <w:highlight w:val="none"/>
        </w:rPr>
      </w:pPr>
    </w:p>
    <w:p>
      <w:pPr>
        <w:spacing w:line="400" w:lineRule="exact"/>
        <w:jc w:val="center"/>
        <w:rPr>
          <w:rFonts w:ascii="Times New Roman" w:hAnsi="Times New Roman"/>
          <w:color w:val="000000"/>
          <w:highlight w:val="none"/>
        </w:rPr>
      </w:pPr>
    </w:p>
    <w:p>
      <w:pPr>
        <w:spacing w:line="400" w:lineRule="exact"/>
        <w:jc w:val="center"/>
        <w:rPr>
          <w:rFonts w:ascii="Times New Roman" w:hAnsi="Times New Roman"/>
          <w:color w:val="000000"/>
          <w:highlight w:val="none"/>
        </w:rPr>
      </w:pPr>
    </w:p>
    <w:p>
      <w:pPr>
        <w:spacing w:line="400" w:lineRule="exact"/>
        <w:jc w:val="center"/>
        <w:rPr>
          <w:rFonts w:ascii="Times New Roman" w:hAnsi="Times New Roman"/>
          <w:color w:val="000000"/>
          <w:highlight w:val="none"/>
        </w:rPr>
      </w:pPr>
    </w:p>
    <w:p>
      <w:pPr>
        <w:spacing w:line="400" w:lineRule="exact"/>
        <w:jc w:val="center"/>
        <w:rPr>
          <w:rFonts w:ascii="Times New Roman" w:hAnsi="Times New Roman"/>
          <w:color w:val="000000"/>
          <w:highlight w:val="none"/>
        </w:rPr>
      </w:pPr>
    </w:p>
    <w:p>
      <w:pPr>
        <w:spacing w:line="400" w:lineRule="exact"/>
        <w:jc w:val="center"/>
        <w:rPr>
          <w:rFonts w:ascii="Times New Roman" w:hAnsi="Times New Roman"/>
          <w:color w:val="000000"/>
          <w:highlight w:val="none"/>
        </w:rPr>
      </w:pPr>
    </w:p>
    <w:p>
      <w:pPr>
        <w:spacing w:line="400" w:lineRule="exact"/>
        <w:jc w:val="center"/>
        <w:rPr>
          <w:rFonts w:ascii="Times New Roman" w:hAnsi="Times New Roman"/>
          <w:color w:val="000000"/>
          <w:highlight w:val="none"/>
        </w:rPr>
      </w:pPr>
    </w:p>
    <w:p>
      <w:pPr>
        <w:spacing w:line="400" w:lineRule="exact"/>
        <w:jc w:val="center"/>
        <w:rPr>
          <w:rFonts w:ascii="Times New Roman" w:hAnsi="Times New Roman"/>
          <w:color w:val="000000"/>
          <w:highlight w:val="none"/>
        </w:rPr>
      </w:pPr>
    </w:p>
    <w:p>
      <w:pPr>
        <w:spacing w:line="400" w:lineRule="exact"/>
        <w:jc w:val="center"/>
        <w:rPr>
          <w:rFonts w:ascii="Times New Roman" w:hAnsi="Times New Roman"/>
          <w:color w:val="000000"/>
          <w:highlight w:val="none"/>
        </w:rPr>
      </w:pPr>
    </w:p>
    <w:p>
      <w:pPr>
        <w:spacing w:line="400" w:lineRule="exact"/>
        <w:jc w:val="center"/>
        <w:rPr>
          <w:rFonts w:ascii="Times New Roman" w:hAnsi="Times New Roman"/>
          <w:color w:val="000000"/>
          <w:highlight w:val="none"/>
        </w:rPr>
      </w:pPr>
    </w:p>
    <w:p>
      <w:pPr>
        <w:spacing w:line="400" w:lineRule="exact"/>
        <w:jc w:val="center"/>
        <w:rPr>
          <w:rFonts w:ascii="Times New Roman" w:hAnsi="Times New Roman"/>
          <w:color w:val="000000"/>
          <w:highlight w:val="none"/>
        </w:rPr>
      </w:pPr>
    </w:p>
    <w:p>
      <w:pPr>
        <w:spacing w:line="400" w:lineRule="exact"/>
        <w:jc w:val="center"/>
        <w:rPr>
          <w:rFonts w:ascii="Times New Roman" w:hAnsi="Times New Roman"/>
          <w:color w:val="000000"/>
          <w:highlight w:val="none"/>
        </w:rPr>
      </w:pPr>
    </w:p>
    <w:p>
      <w:pPr>
        <w:spacing w:line="400" w:lineRule="exact"/>
        <w:jc w:val="center"/>
        <w:rPr>
          <w:rFonts w:ascii="Times New Roman" w:hAnsi="Times New Roman"/>
          <w:color w:val="000000"/>
          <w:highlight w:val="none"/>
        </w:rPr>
      </w:pPr>
    </w:p>
    <w:p>
      <w:pPr>
        <w:spacing w:line="400" w:lineRule="exact"/>
        <w:jc w:val="center"/>
        <w:rPr>
          <w:rFonts w:ascii="Times New Roman" w:hAnsi="Times New Roman"/>
          <w:color w:val="000000"/>
          <w:highlight w:val="none"/>
        </w:rPr>
      </w:pPr>
    </w:p>
    <w:p>
      <w:pPr>
        <w:spacing w:line="560" w:lineRule="exact"/>
        <w:jc w:val="center"/>
        <w:rPr>
          <w:rFonts w:ascii="方正黑体简体" w:hAnsi="方正黑体简体" w:eastAsia="方正黑体简体" w:cs="方正黑体简体"/>
          <w:sz w:val="32"/>
          <w:szCs w:val="32"/>
          <w:highlight w:val="none"/>
        </w:rPr>
      </w:pPr>
      <w:r>
        <w:rPr>
          <w:rFonts w:hint="eastAsia" w:ascii="方正黑体简体" w:hAnsi="方正黑体简体" w:eastAsia="方正黑体简体" w:cs="方正黑体简体"/>
          <w:sz w:val="32"/>
          <w:szCs w:val="32"/>
          <w:highlight w:val="none"/>
        </w:rPr>
        <w:t>西藏自治区水利厅</w:t>
      </w:r>
    </w:p>
    <w:p>
      <w:pPr>
        <w:spacing w:line="560" w:lineRule="exact"/>
        <w:jc w:val="center"/>
        <w:rPr>
          <w:rFonts w:ascii="Times New Roman" w:hAnsi="Times New Roman"/>
          <w:color w:val="000000"/>
          <w:highlight w:val="none"/>
        </w:rPr>
      </w:pPr>
      <w:r>
        <w:rPr>
          <w:rFonts w:hint="eastAsia" w:ascii="方正黑体简体" w:hAnsi="方正黑体简体" w:eastAsia="方正黑体简体" w:cs="方正黑体简体"/>
          <w:sz w:val="32"/>
          <w:szCs w:val="32"/>
          <w:highlight w:val="none"/>
        </w:rPr>
        <w:t>202</w:t>
      </w:r>
      <w:r>
        <w:rPr>
          <w:rFonts w:hint="eastAsia" w:ascii="方正黑体简体" w:hAnsi="方正黑体简体" w:eastAsia="方正黑体简体" w:cs="方正黑体简体"/>
          <w:sz w:val="32"/>
          <w:szCs w:val="32"/>
          <w:highlight w:val="none"/>
          <w:lang w:val="en-US" w:eastAsia="zh-CN"/>
        </w:rPr>
        <w:t>4</w:t>
      </w:r>
      <w:r>
        <w:rPr>
          <w:rFonts w:hint="eastAsia" w:ascii="方正黑体简体" w:hAnsi="方正黑体简体" w:eastAsia="方正黑体简体" w:cs="方正黑体简体"/>
          <w:sz w:val="32"/>
          <w:szCs w:val="32"/>
          <w:highlight w:val="none"/>
        </w:rPr>
        <w:t>年</w:t>
      </w:r>
      <w:r>
        <w:rPr>
          <w:rFonts w:hint="eastAsia" w:ascii="方正黑体简体" w:hAnsi="方正黑体简体" w:eastAsia="方正黑体简体" w:cs="方正黑体简体"/>
          <w:sz w:val="32"/>
          <w:szCs w:val="32"/>
          <w:highlight w:val="none"/>
          <w:lang w:val="en-US" w:eastAsia="zh-CN"/>
        </w:rPr>
        <w:t>11</w:t>
      </w:r>
      <w:r>
        <w:rPr>
          <w:rFonts w:hint="eastAsia" w:ascii="方正黑体简体" w:hAnsi="方正黑体简体" w:eastAsia="方正黑体简体" w:cs="方正黑体简体"/>
          <w:sz w:val="32"/>
          <w:szCs w:val="32"/>
          <w:highlight w:val="none"/>
        </w:rPr>
        <w:t>月</w:t>
      </w:r>
    </w:p>
    <w:p>
      <w:pPr>
        <w:spacing w:line="400" w:lineRule="exact"/>
        <w:jc w:val="center"/>
        <w:rPr>
          <w:rFonts w:ascii="Times New Roman" w:hAnsi="Times New Roman"/>
          <w:color w:val="000000"/>
          <w:highlight w:val="none"/>
        </w:rPr>
      </w:pPr>
      <w:r>
        <w:rPr>
          <w:rFonts w:ascii="Times New Roman" w:hAnsi="Times New Roman"/>
          <w:color w:val="000000"/>
          <w:highlight w:val="none"/>
        </w:rPr>
        <w:br w:type="page"/>
      </w:r>
    </w:p>
    <w:p>
      <w:pPr>
        <w:jc w:val="center"/>
        <w:rPr>
          <w:rFonts w:hint="eastAsia" w:ascii="黑体" w:hAnsi="黑体" w:eastAsia="黑体" w:cs="黑体"/>
          <w:b w:val="0"/>
          <w:bCs/>
          <w:kern w:val="0"/>
          <w:sz w:val="36"/>
          <w:szCs w:val="36"/>
          <w:highlight w:val="none"/>
          <w:lang w:val="zh-CN"/>
        </w:rPr>
      </w:pPr>
      <w:r>
        <w:rPr>
          <w:rFonts w:hint="eastAsia" w:ascii="黑体" w:hAnsi="黑体" w:eastAsia="黑体" w:cs="黑体"/>
          <w:b w:val="0"/>
          <w:bCs/>
          <w:kern w:val="0"/>
          <w:sz w:val="36"/>
          <w:szCs w:val="36"/>
          <w:highlight w:val="none"/>
          <w:lang w:val="zh-CN"/>
        </w:rPr>
        <w:t>本书编委会</w:t>
      </w: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kern w:val="0"/>
          <w:sz w:val="32"/>
          <w:szCs w:val="32"/>
          <w:highlight w:val="none"/>
          <w:lang w:val="zh-CN"/>
        </w:rPr>
      </w:pP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kern w:val="0"/>
          <w:sz w:val="32"/>
          <w:szCs w:val="32"/>
          <w:highlight w:val="none"/>
          <w:lang w:val="zh-CN"/>
        </w:rPr>
      </w:pPr>
      <w:r>
        <w:rPr>
          <w:rFonts w:hint="eastAsia" w:ascii="仿宋_GB2312" w:hAnsi="仿宋_GB2312" w:eastAsia="仿宋_GB2312" w:cs="仿宋_GB2312"/>
          <w:b/>
          <w:bCs w:val="0"/>
          <w:kern w:val="0"/>
          <w:sz w:val="32"/>
          <w:szCs w:val="32"/>
          <w:highlight w:val="none"/>
          <w:lang w:val="zh-CN"/>
        </w:rPr>
        <w:t>主编单位：</w:t>
      </w:r>
      <w:r>
        <w:rPr>
          <w:rFonts w:hint="eastAsia" w:ascii="仿宋_GB2312" w:hAnsi="仿宋_GB2312" w:eastAsia="仿宋_GB2312" w:cs="仿宋_GB2312"/>
          <w:b w:val="0"/>
          <w:bCs/>
          <w:kern w:val="0"/>
          <w:sz w:val="32"/>
          <w:szCs w:val="32"/>
          <w:highlight w:val="none"/>
          <w:lang w:val="zh-CN"/>
        </w:rPr>
        <w:t>西藏自治区水利厅</w:t>
      </w:r>
    </w:p>
    <w:p>
      <w:pPr>
        <w:keepNext w:val="0"/>
        <w:keepLines w:val="0"/>
        <w:pageBreakBefore w:val="0"/>
        <w:widowControl w:val="0"/>
        <w:kinsoku/>
        <w:wordWrap/>
        <w:overflowPunct/>
        <w:topLinePunct w:val="0"/>
        <w:autoSpaceDE/>
        <w:autoSpaceDN/>
        <w:bidi w:val="0"/>
        <w:adjustRightInd/>
        <w:snapToGrid/>
        <w:spacing w:line="576" w:lineRule="exact"/>
        <w:ind w:firstLine="1600" w:firstLineChars="500"/>
        <w:jc w:val="both"/>
        <w:textAlignment w:val="auto"/>
        <w:rPr>
          <w:rFonts w:hint="eastAsia" w:ascii="仿宋_GB2312" w:hAnsi="仿宋_GB2312" w:eastAsia="仿宋_GB2312" w:cs="仿宋_GB2312"/>
          <w:b w:val="0"/>
          <w:bCs/>
          <w:kern w:val="0"/>
          <w:sz w:val="32"/>
          <w:szCs w:val="32"/>
          <w:highlight w:val="none"/>
          <w:lang w:val="zh-CN"/>
        </w:rPr>
      </w:pPr>
      <w:r>
        <w:rPr>
          <w:rFonts w:hint="eastAsia" w:ascii="仿宋_GB2312" w:hAnsi="仿宋_GB2312" w:eastAsia="仿宋_GB2312" w:cs="仿宋_GB2312"/>
          <w:b w:val="0"/>
          <w:bCs/>
          <w:kern w:val="0"/>
          <w:sz w:val="32"/>
          <w:szCs w:val="32"/>
          <w:highlight w:val="none"/>
          <w:lang w:val="zh-CN"/>
        </w:rPr>
        <w:t>中水北方勘测设计研究有限责任公司</w:t>
      </w: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kern w:val="0"/>
          <w:sz w:val="32"/>
          <w:szCs w:val="32"/>
          <w:highlight w:val="none"/>
          <w:lang w:val="zh-CN"/>
        </w:rPr>
      </w:pPr>
      <w:r>
        <w:rPr>
          <w:rFonts w:hint="eastAsia" w:ascii="仿宋_GB2312" w:hAnsi="仿宋_GB2312" w:eastAsia="仿宋_GB2312" w:cs="仿宋_GB2312"/>
          <w:b/>
          <w:bCs w:val="0"/>
          <w:kern w:val="0"/>
          <w:sz w:val="32"/>
          <w:szCs w:val="32"/>
          <w:highlight w:val="none"/>
          <w:lang w:val="zh-CN"/>
        </w:rPr>
        <w:t>主</w:t>
      </w:r>
      <w:r>
        <w:rPr>
          <w:rFonts w:hint="eastAsia" w:ascii="仿宋_GB2312" w:hAnsi="仿宋_GB2312" w:eastAsia="仿宋_GB2312" w:cs="仿宋_GB2312"/>
          <w:b/>
          <w:bCs w:val="0"/>
          <w:kern w:val="0"/>
          <w:sz w:val="32"/>
          <w:szCs w:val="32"/>
          <w:highlight w:val="none"/>
          <w:lang w:val="en-US" w:eastAsia="zh-CN"/>
        </w:rPr>
        <w:t xml:space="preserve">    </w:t>
      </w:r>
      <w:r>
        <w:rPr>
          <w:rFonts w:hint="eastAsia" w:ascii="仿宋_GB2312" w:hAnsi="仿宋_GB2312" w:eastAsia="仿宋_GB2312" w:cs="仿宋_GB2312"/>
          <w:b/>
          <w:bCs w:val="0"/>
          <w:kern w:val="0"/>
          <w:sz w:val="32"/>
          <w:szCs w:val="32"/>
          <w:highlight w:val="none"/>
          <w:lang w:val="zh-CN"/>
        </w:rPr>
        <w:t>审：</w:t>
      </w:r>
      <w:r>
        <w:rPr>
          <w:rFonts w:hint="eastAsia" w:ascii="仿宋_GB2312" w:hAnsi="仿宋_GB2312" w:eastAsia="仿宋_GB2312" w:cs="仿宋_GB2312"/>
          <w:b w:val="0"/>
          <w:bCs/>
          <w:kern w:val="0"/>
          <w:sz w:val="32"/>
          <w:szCs w:val="32"/>
          <w:highlight w:val="none"/>
          <w:lang w:val="zh-CN"/>
        </w:rPr>
        <w:t>热旦</w:t>
      </w: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kern w:val="0"/>
          <w:sz w:val="32"/>
          <w:szCs w:val="32"/>
          <w:highlight w:val="none"/>
          <w:lang w:val="en-US" w:eastAsia="zh-CN"/>
        </w:rPr>
      </w:pPr>
      <w:r>
        <w:rPr>
          <w:rFonts w:hint="eastAsia" w:ascii="仿宋_GB2312" w:hAnsi="仿宋_GB2312" w:eastAsia="仿宋_GB2312" w:cs="仿宋_GB2312"/>
          <w:b/>
          <w:bCs w:val="0"/>
          <w:kern w:val="0"/>
          <w:sz w:val="32"/>
          <w:szCs w:val="32"/>
          <w:highlight w:val="none"/>
          <w:lang w:val="zh-CN"/>
        </w:rPr>
        <w:t>主</w:t>
      </w:r>
      <w:r>
        <w:rPr>
          <w:rFonts w:hint="eastAsia" w:ascii="仿宋_GB2312" w:hAnsi="仿宋_GB2312" w:eastAsia="仿宋_GB2312" w:cs="仿宋_GB2312"/>
          <w:b/>
          <w:bCs w:val="0"/>
          <w:kern w:val="0"/>
          <w:sz w:val="32"/>
          <w:szCs w:val="32"/>
          <w:highlight w:val="none"/>
          <w:lang w:val="en-US" w:eastAsia="zh-CN"/>
        </w:rPr>
        <w:t xml:space="preserve">    </w:t>
      </w:r>
      <w:r>
        <w:rPr>
          <w:rFonts w:hint="eastAsia" w:ascii="仿宋_GB2312" w:hAnsi="仿宋_GB2312" w:eastAsia="仿宋_GB2312" w:cs="仿宋_GB2312"/>
          <w:b/>
          <w:bCs w:val="0"/>
          <w:kern w:val="0"/>
          <w:sz w:val="32"/>
          <w:szCs w:val="32"/>
          <w:highlight w:val="none"/>
          <w:lang w:val="zh-CN"/>
        </w:rPr>
        <w:t>编：</w:t>
      </w:r>
      <w:r>
        <w:rPr>
          <w:rFonts w:hint="eastAsia" w:ascii="仿宋_GB2312" w:hAnsi="仿宋_GB2312" w:eastAsia="仿宋_GB2312" w:cs="仿宋_GB2312"/>
          <w:b w:val="0"/>
          <w:bCs/>
          <w:kern w:val="0"/>
          <w:sz w:val="32"/>
          <w:szCs w:val="32"/>
          <w:highlight w:val="none"/>
          <w:lang w:val="zh-CN"/>
        </w:rPr>
        <w:t>皇甫大林</w:t>
      </w:r>
      <w:r>
        <w:rPr>
          <w:rFonts w:hint="eastAsia" w:ascii="仿宋_GB2312" w:hAnsi="仿宋_GB2312" w:eastAsia="仿宋_GB2312" w:cs="仿宋_GB2312"/>
          <w:b w:val="0"/>
          <w:bCs/>
          <w:kern w:val="0"/>
          <w:sz w:val="32"/>
          <w:szCs w:val="32"/>
          <w:highlight w:val="none"/>
          <w:lang w:val="en-US" w:eastAsia="zh-CN"/>
        </w:rPr>
        <w:t xml:space="preserve"> 金泰植</w:t>
      </w:r>
    </w:p>
    <w:p>
      <w:pPr>
        <w:keepNext w:val="0"/>
        <w:keepLines w:val="0"/>
        <w:pageBreakBefore w:val="0"/>
        <w:widowControl w:val="0"/>
        <w:kinsoku/>
        <w:wordWrap/>
        <w:overflowPunct/>
        <w:topLinePunct w:val="0"/>
        <w:autoSpaceDE/>
        <w:autoSpaceDN/>
        <w:bidi w:val="0"/>
        <w:adjustRightInd/>
        <w:snapToGrid/>
        <w:spacing w:line="576" w:lineRule="exact"/>
        <w:ind w:left="1600" w:hanging="1606" w:hangingChars="500"/>
        <w:jc w:val="both"/>
        <w:textAlignment w:val="auto"/>
        <w:rPr>
          <w:rFonts w:hint="eastAsia" w:ascii="仿宋_GB2312" w:hAnsi="仿宋_GB2312" w:eastAsia="仿宋_GB2312" w:cs="仿宋_GB2312"/>
          <w:b w:val="0"/>
          <w:bCs/>
          <w:kern w:val="0"/>
          <w:sz w:val="32"/>
          <w:szCs w:val="32"/>
          <w:highlight w:val="none"/>
          <w:lang w:val="en-US" w:eastAsia="zh-CN"/>
        </w:rPr>
      </w:pPr>
      <w:r>
        <w:rPr>
          <w:rFonts w:hint="eastAsia" w:ascii="仿宋_GB2312" w:hAnsi="仿宋_GB2312" w:eastAsia="仿宋_GB2312" w:cs="仿宋_GB2312"/>
          <w:b/>
          <w:bCs w:val="0"/>
          <w:kern w:val="0"/>
          <w:sz w:val="32"/>
          <w:szCs w:val="32"/>
          <w:highlight w:val="none"/>
          <w:lang w:val="en-US" w:eastAsia="zh-CN"/>
        </w:rPr>
        <w:t>编写成员：</w:t>
      </w:r>
      <w:r>
        <w:rPr>
          <w:rFonts w:hint="eastAsia" w:ascii="仿宋_GB2312" w:hAnsi="仿宋_GB2312" w:eastAsia="仿宋_GB2312" w:cs="仿宋_GB2312"/>
          <w:b w:val="0"/>
          <w:bCs/>
          <w:kern w:val="0"/>
          <w:sz w:val="32"/>
          <w:szCs w:val="32"/>
          <w:highlight w:val="none"/>
          <w:lang w:val="en-US" w:eastAsia="zh-CN"/>
        </w:rPr>
        <w:t xml:space="preserve">张海军 柳林 江村 提包次仁 杜昭辉 张喜院 </w:t>
      </w:r>
    </w:p>
    <w:p>
      <w:pPr>
        <w:keepNext w:val="0"/>
        <w:keepLines w:val="0"/>
        <w:pageBreakBefore w:val="0"/>
        <w:widowControl w:val="0"/>
        <w:kinsoku/>
        <w:wordWrap/>
        <w:overflowPunct/>
        <w:topLinePunct w:val="0"/>
        <w:autoSpaceDE/>
        <w:autoSpaceDN/>
        <w:bidi w:val="0"/>
        <w:adjustRightInd/>
        <w:snapToGrid/>
        <w:spacing w:line="576" w:lineRule="exact"/>
        <w:ind w:left="1596" w:leftChars="760" w:firstLine="0" w:firstLineChars="0"/>
        <w:jc w:val="both"/>
        <w:textAlignment w:val="auto"/>
        <w:rPr>
          <w:rFonts w:hint="eastAsia" w:ascii="仿宋_GB2312" w:hAnsi="仿宋_GB2312" w:eastAsia="仿宋_GB2312" w:cs="仿宋_GB2312"/>
          <w:b w:val="0"/>
          <w:bCs/>
          <w:kern w:val="0"/>
          <w:sz w:val="32"/>
          <w:szCs w:val="32"/>
          <w:highlight w:val="none"/>
          <w:lang w:val="en-US" w:eastAsia="zh-CN"/>
        </w:rPr>
      </w:pPr>
      <w:r>
        <w:rPr>
          <w:rFonts w:hint="eastAsia" w:ascii="仿宋_GB2312" w:hAnsi="仿宋_GB2312" w:eastAsia="仿宋_GB2312" w:cs="仿宋_GB2312"/>
          <w:b w:val="0"/>
          <w:bCs/>
          <w:kern w:val="0"/>
          <w:sz w:val="32"/>
          <w:szCs w:val="32"/>
          <w:highlight w:val="none"/>
          <w:lang w:val="en-US" w:eastAsia="zh-CN"/>
        </w:rPr>
        <w:t>王志良 李思维 杨林 次旦卓玛 桑姆 巴桑曲珍 刘鹏 梁博 周斌山 旦增曲珍 扎西拉姆 杨刚 张嘉军 张艳君 张誉 徐丽 郝红红 邱海玲</w:t>
      </w:r>
    </w:p>
    <w:p>
      <w:pPr>
        <w:spacing w:line="500" w:lineRule="exact"/>
        <w:jc w:val="center"/>
        <w:rPr>
          <w:rFonts w:ascii="Times New Roman" w:hAnsi="Times New Roman" w:eastAsia="黑体"/>
          <w:sz w:val="32"/>
          <w:szCs w:val="32"/>
          <w:highlight w:val="none"/>
        </w:rPr>
      </w:pPr>
      <w:bookmarkStart w:id="899" w:name="_GoBack"/>
      <w:bookmarkEnd w:id="899"/>
    </w:p>
    <w:p>
      <w:pPr>
        <w:spacing w:line="500" w:lineRule="exact"/>
        <w:jc w:val="center"/>
        <w:rPr>
          <w:rFonts w:ascii="Times New Roman" w:hAnsi="Times New Roman" w:eastAsia="黑体"/>
          <w:sz w:val="32"/>
          <w:szCs w:val="32"/>
          <w:highlight w:val="none"/>
        </w:rPr>
      </w:pPr>
    </w:p>
    <w:p>
      <w:pPr>
        <w:spacing w:line="500" w:lineRule="exact"/>
        <w:jc w:val="center"/>
        <w:rPr>
          <w:rFonts w:ascii="Times New Roman" w:hAnsi="Times New Roman" w:eastAsia="黑体"/>
          <w:sz w:val="32"/>
          <w:szCs w:val="32"/>
          <w:highlight w:val="none"/>
        </w:rPr>
      </w:pPr>
    </w:p>
    <w:p>
      <w:pPr>
        <w:spacing w:line="500" w:lineRule="exact"/>
        <w:jc w:val="center"/>
        <w:rPr>
          <w:rFonts w:ascii="Times New Roman" w:hAnsi="Times New Roman" w:eastAsia="黑体"/>
          <w:sz w:val="32"/>
          <w:szCs w:val="32"/>
          <w:highlight w:val="none"/>
        </w:rPr>
      </w:pPr>
    </w:p>
    <w:p>
      <w:pPr>
        <w:spacing w:line="500" w:lineRule="exact"/>
        <w:jc w:val="center"/>
        <w:rPr>
          <w:rFonts w:ascii="Times New Roman" w:hAnsi="Times New Roman" w:eastAsia="黑体"/>
          <w:sz w:val="32"/>
          <w:szCs w:val="32"/>
          <w:highlight w:val="none"/>
        </w:rPr>
      </w:pPr>
    </w:p>
    <w:p>
      <w:pPr>
        <w:spacing w:line="500" w:lineRule="exact"/>
        <w:jc w:val="center"/>
        <w:rPr>
          <w:rFonts w:ascii="Times New Roman" w:hAnsi="Times New Roman" w:eastAsia="黑体"/>
          <w:sz w:val="32"/>
          <w:szCs w:val="32"/>
          <w:highlight w:val="none"/>
        </w:rPr>
      </w:pPr>
    </w:p>
    <w:p>
      <w:pPr>
        <w:spacing w:line="500" w:lineRule="exact"/>
        <w:jc w:val="center"/>
        <w:rPr>
          <w:rFonts w:ascii="Times New Roman" w:hAnsi="Times New Roman" w:eastAsia="黑体"/>
          <w:sz w:val="32"/>
          <w:szCs w:val="32"/>
          <w:highlight w:val="none"/>
        </w:rPr>
      </w:pPr>
    </w:p>
    <w:p>
      <w:pPr>
        <w:spacing w:line="500" w:lineRule="exact"/>
        <w:jc w:val="center"/>
        <w:rPr>
          <w:rFonts w:ascii="Times New Roman" w:hAnsi="Times New Roman" w:eastAsia="黑体"/>
          <w:sz w:val="32"/>
          <w:szCs w:val="32"/>
          <w:highlight w:val="none"/>
        </w:rPr>
      </w:pPr>
    </w:p>
    <w:p>
      <w:pPr>
        <w:spacing w:line="500" w:lineRule="exact"/>
        <w:jc w:val="center"/>
        <w:rPr>
          <w:rFonts w:ascii="Times New Roman" w:hAnsi="Times New Roman" w:eastAsia="黑体"/>
          <w:sz w:val="32"/>
          <w:szCs w:val="32"/>
          <w:highlight w:val="none"/>
        </w:rPr>
      </w:pPr>
    </w:p>
    <w:p>
      <w:pPr>
        <w:spacing w:line="500" w:lineRule="exact"/>
        <w:jc w:val="center"/>
        <w:rPr>
          <w:rFonts w:ascii="Times New Roman" w:hAnsi="Times New Roman" w:eastAsia="黑体"/>
          <w:sz w:val="32"/>
          <w:szCs w:val="32"/>
          <w:highlight w:val="none"/>
        </w:rPr>
      </w:pPr>
    </w:p>
    <w:p>
      <w:pPr>
        <w:spacing w:line="500" w:lineRule="exact"/>
        <w:jc w:val="center"/>
        <w:rPr>
          <w:rFonts w:ascii="Times New Roman" w:hAnsi="Times New Roman" w:eastAsia="黑体"/>
          <w:sz w:val="32"/>
          <w:szCs w:val="32"/>
          <w:highlight w:val="none"/>
        </w:rPr>
      </w:pPr>
    </w:p>
    <w:p>
      <w:pPr>
        <w:spacing w:line="500" w:lineRule="exact"/>
        <w:jc w:val="center"/>
        <w:rPr>
          <w:rFonts w:ascii="Times New Roman" w:hAnsi="Times New Roman" w:eastAsia="黑体"/>
          <w:sz w:val="32"/>
          <w:szCs w:val="32"/>
          <w:highlight w:val="none"/>
        </w:rPr>
      </w:pPr>
    </w:p>
    <w:p>
      <w:pPr>
        <w:spacing w:line="500" w:lineRule="exact"/>
        <w:jc w:val="center"/>
        <w:rPr>
          <w:rFonts w:ascii="Times New Roman" w:hAnsi="Times New Roman" w:eastAsia="黑体"/>
          <w:sz w:val="32"/>
          <w:szCs w:val="32"/>
          <w:highlight w:val="none"/>
        </w:rPr>
      </w:pPr>
    </w:p>
    <w:p>
      <w:pPr>
        <w:spacing w:line="500" w:lineRule="exact"/>
        <w:jc w:val="center"/>
        <w:rPr>
          <w:rFonts w:ascii="Times New Roman" w:hAnsi="Times New Roman" w:eastAsia="黑体"/>
          <w:sz w:val="32"/>
          <w:szCs w:val="32"/>
          <w:highlight w:val="none"/>
        </w:rPr>
      </w:pPr>
    </w:p>
    <w:p>
      <w:pPr>
        <w:spacing w:line="500" w:lineRule="exact"/>
        <w:jc w:val="center"/>
        <w:rPr>
          <w:rFonts w:ascii="Times New Roman" w:hAnsi="Times New Roman" w:eastAsia="黑体"/>
          <w:sz w:val="32"/>
          <w:szCs w:val="32"/>
          <w:highlight w:val="none"/>
        </w:rPr>
      </w:pPr>
    </w:p>
    <w:p>
      <w:pPr>
        <w:spacing w:line="500" w:lineRule="exact"/>
        <w:jc w:val="center"/>
        <w:rPr>
          <w:rFonts w:ascii="Times New Roman" w:hAnsi="Times New Roman" w:eastAsia="黑体"/>
          <w:sz w:val="32"/>
          <w:szCs w:val="32"/>
          <w:highlight w:val="none"/>
        </w:rPr>
      </w:pPr>
    </w:p>
    <w:p>
      <w:pPr>
        <w:spacing w:line="500" w:lineRule="exact"/>
        <w:jc w:val="center"/>
        <w:rPr>
          <w:rFonts w:ascii="Times New Roman" w:hAnsi="Times New Roman" w:eastAsia="黑体"/>
          <w:sz w:val="32"/>
          <w:szCs w:val="32"/>
          <w:highlight w:val="none"/>
        </w:rPr>
      </w:pPr>
      <w:r>
        <w:rPr>
          <w:rFonts w:ascii="Times New Roman" w:hAnsi="Times New Roman" w:eastAsia="黑体"/>
          <w:sz w:val="32"/>
          <w:szCs w:val="32"/>
          <w:highlight w:val="none"/>
        </w:rPr>
        <w:t>使用说明</w:t>
      </w:r>
    </w:p>
    <w:p>
      <w:pPr>
        <w:spacing w:line="440" w:lineRule="exact"/>
        <w:jc w:val="center"/>
        <w:rPr>
          <w:rFonts w:hint="eastAsia" w:ascii="仿宋_GB2312" w:hAnsi="仿宋_GB2312" w:eastAsia="仿宋_GB2312" w:cs="仿宋_GB2312"/>
          <w:sz w:val="32"/>
          <w:szCs w:val="32"/>
          <w:highlight w:val="none"/>
        </w:rPr>
      </w:pPr>
    </w:p>
    <w:p>
      <w:pPr>
        <w:spacing w:line="44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一、《西藏自治区水利工程建设项目标准材料采购电子招标文件（试行）》（</w:t>
      </w:r>
      <w:r>
        <w:rPr>
          <w:rFonts w:hint="eastAsia" w:ascii="仿宋_GB2312" w:hAnsi="仿宋_GB2312" w:eastAsia="仿宋_GB2312" w:cs="仿宋_GB2312"/>
          <w:sz w:val="24"/>
          <w:szCs w:val="24"/>
          <w:highlight w:val="none"/>
          <w:lang w:eastAsia="zh-CN"/>
        </w:rPr>
        <w:t>2024年版</w:t>
      </w:r>
      <w:r>
        <w:rPr>
          <w:rFonts w:hint="eastAsia" w:ascii="仿宋_GB2312" w:hAnsi="仿宋_GB2312" w:eastAsia="仿宋_GB2312" w:cs="仿宋_GB2312"/>
          <w:sz w:val="24"/>
          <w:szCs w:val="24"/>
          <w:highlight w:val="none"/>
        </w:rPr>
        <w:t>）依据《中华人民共和国标准材料采购招标文件》以及《电子招标投标办法》（8部委20号令）等编制，适用于西藏自治区水利工程建设项目材料采购电子招标。</w:t>
      </w:r>
    </w:p>
    <w:p>
      <w:pPr>
        <w:spacing w:line="440" w:lineRule="exact"/>
        <w:ind w:firstLine="480" w:firstLineChars="20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二、《西藏自治区水利工程建设项目标准材料采购电子招标文件（试行）》（</w:t>
      </w:r>
      <w:r>
        <w:rPr>
          <w:rFonts w:hint="eastAsia" w:ascii="仿宋_GB2312" w:hAnsi="仿宋_GB2312" w:eastAsia="仿宋_GB2312" w:cs="仿宋_GB2312"/>
          <w:sz w:val="24"/>
          <w:szCs w:val="24"/>
          <w:highlight w:val="none"/>
          <w:lang w:eastAsia="zh-CN"/>
        </w:rPr>
        <w:t>2024年版</w:t>
      </w:r>
      <w:r>
        <w:rPr>
          <w:rFonts w:hint="eastAsia" w:ascii="仿宋_GB2312" w:hAnsi="仿宋_GB2312" w:eastAsia="仿宋_GB2312" w:cs="仿宋_GB2312"/>
          <w:sz w:val="24"/>
          <w:szCs w:val="24"/>
          <w:highlight w:val="none"/>
        </w:rPr>
        <w:t>）用相同序号标示的章、节、条、款、项、目，供招标人和投标人选择使用；以空格标示的由招标人填写的内容，招标人应根据招标项目具体特点和实际需要具体化，确实没有需要填写的，在空格中用“/”标示。</w:t>
      </w:r>
    </w:p>
    <w:p>
      <w:pPr>
        <w:spacing w:line="44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三、招标人按照第一章的格式发布招标公告或发出投标邀请书后，将实际发布的招标公告或实际发出的投标邀请书编入出售的招标文件中，作为投标邀请。其中，招标公告应同时注明其发布所在的所有媒介名称。</w:t>
      </w:r>
    </w:p>
    <w:p>
      <w:pPr>
        <w:spacing w:line="44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四、第三章“评标办法”分别规定综合评估法和经评审的最低投标价法两种评标方法，供招标人根据招标项目具体特点和实际需要选择使用。招标人选择使用综合评估法的，各评审因素的评审标准、分值和权重等由招标人自主确定。国务院有关部门对各评审因素的评审标准、分值和权重等有规定的，从其规定。</w:t>
      </w:r>
    </w:p>
    <w:p>
      <w:pPr>
        <w:spacing w:line="44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第三章“评标办法前附表”应列明全部评审因素和评审标准，并在本章前附表标明投标人不满足要求即否决其投标的全部条款。</w:t>
      </w:r>
    </w:p>
    <w:p>
      <w:pPr>
        <w:spacing w:line="44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五、第五章“供货要求”由招标人根据行业标准材料采购招标文件（如有）、招标项目具体特点和实际需要编制，并与“投标人须知”、“通用合同条款”、“专用合同条款”相衔接。</w:t>
      </w:r>
    </w:p>
    <w:p>
      <w:pPr>
        <w:spacing w:line="44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六、《西藏自治区水利工程建设项目标准材料采购电子招标文件（试行）》（</w:t>
      </w:r>
      <w:r>
        <w:rPr>
          <w:rFonts w:hint="eastAsia" w:ascii="仿宋_GB2312" w:hAnsi="仿宋_GB2312" w:eastAsia="仿宋_GB2312" w:cs="仿宋_GB2312"/>
          <w:sz w:val="24"/>
          <w:szCs w:val="24"/>
          <w:highlight w:val="none"/>
          <w:lang w:eastAsia="zh-CN"/>
        </w:rPr>
        <w:t>2024年版</w:t>
      </w:r>
      <w:r>
        <w:rPr>
          <w:rFonts w:hint="eastAsia" w:ascii="仿宋_GB2312" w:hAnsi="仿宋_GB2312" w:eastAsia="仿宋_GB2312" w:cs="仿宋_GB2312"/>
          <w:sz w:val="24"/>
          <w:szCs w:val="24"/>
          <w:highlight w:val="none"/>
        </w:rPr>
        <w:t>）将根据实际执行过程中出现的问题及时进行修改。各使用单位或个人对《西藏自治区水利工程建设项目标准材料采购电子招标文件（试行）》（</w:t>
      </w:r>
      <w:r>
        <w:rPr>
          <w:rFonts w:hint="eastAsia" w:ascii="仿宋_GB2312" w:hAnsi="仿宋_GB2312" w:eastAsia="仿宋_GB2312" w:cs="仿宋_GB2312"/>
          <w:sz w:val="24"/>
          <w:szCs w:val="24"/>
          <w:highlight w:val="none"/>
          <w:lang w:eastAsia="zh-CN"/>
        </w:rPr>
        <w:t>2024年版</w:t>
      </w:r>
      <w:r>
        <w:rPr>
          <w:rFonts w:hint="eastAsia" w:ascii="仿宋_GB2312" w:hAnsi="仿宋_GB2312" w:eastAsia="仿宋_GB2312" w:cs="仿宋_GB2312"/>
          <w:sz w:val="24"/>
          <w:szCs w:val="24"/>
          <w:highlight w:val="none"/>
        </w:rPr>
        <w:t>）的修改意见和建议，可向西藏自治区</w:t>
      </w:r>
      <w:r>
        <w:rPr>
          <w:rFonts w:hint="eastAsia" w:ascii="仿宋_GB2312" w:hAnsi="仿宋_GB2312" w:eastAsia="仿宋_GB2312" w:cs="仿宋_GB2312"/>
          <w:sz w:val="24"/>
          <w:szCs w:val="24"/>
          <w:highlight w:val="none"/>
          <w:lang w:eastAsia="zh-CN"/>
        </w:rPr>
        <w:t>水利厅建设运行管理处</w:t>
      </w:r>
      <w:r>
        <w:rPr>
          <w:rFonts w:hint="eastAsia" w:ascii="仿宋_GB2312" w:hAnsi="仿宋_GB2312" w:eastAsia="仿宋_GB2312" w:cs="仿宋_GB2312"/>
          <w:sz w:val="24"/>
          <w:szCs w:val="24"/>
          <w:highlight w:val="none"/>
        </w:rPr>
        <w:t>反映。</w:t>
      </w:r>
    </w:p>
    <w:p>
      <w:pPr>
        <w:spacing w:line="44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联系电话：0891-6373996</w:t>
      </w:r>
      <w:r>
        <w:rPr>
          <w:rFonts w:hint="eastAsia" w:ascii="仿宋_GB2312" w:hAnsi="仿宋_GB2312" w:eastAsia="仿宋_GB2312" w:cs="仿宋_GB2312"/>
          <w:sz w:val="24"/>
          <w:szCs w:val="24"/>
          <w:highlight w:val="none"/>
          <w:lang w:val="en"/>
        </w:rPr>
        <w:t>/</w:t>
      </w:r>
      <w:r>
        <w:rPr>
          <w:rFonts w:hint="eastAsia" w:ascii="仿宋_GB2312" w:hAnsi="仿宋_GB2312" w:eastAsia="仿宋_GB2312" w:cs="仿宋_GB2312"/>
          <w:sz w:val="24"/>
          <w:szCs w:val="24"/>
          <w:highlight w:val="none"/>
        </w:rPr>
        <w:t>6373641。</w:t>
      </w:r>
    </w:p>
    <w:p>
      <w:pPr>
        <w:widowControl/>
        <w:jc w:val="left"/>
        <w:rPr>
          <w:rFonts w:ascii="Times New Roman" w:hAnsi="Times New Roman"/>
          <w:color w:val="000000"/>
          <w:sz w:val="20"/>
          <w:highlight w:val="none"/>
        </w:rPr>
      </w:pPr>
      <w:r>
        <w:rPr>
          <w:rFonts w:ascii="Times New Roman" w:hAnsi="Times New Roman"/>
          <w:color w:val="000000"/>
          <w:sz w:val="20"/>
          <w:highlight w:val="none"/>
        </w:rPr>
        <w:br w:type="page"/>
      </w:r>
    </w:p>
    <w:p>
      <w:pPr>
        <w:pStyle w:val="9"/>
        <w:spacing w:line="400" w:lineRule="exact"/>
        <w:ind w:firstLine="560"/>
        <w:rPr>
          <w:rFonts w:ascii="Times New Roman" w:hAnsi="Times New Roman"/>
          <w:color w:val="000000"/>
          <w:sz w:val="20"/>
          <w:highlight w:val="none"/>
        </w:rPr>
      </w:pPr>
    </w:p>
    <w:p>
      <w:pPr>
        <w:spacing w:line="400" w:lineRule="exact"/>
        <w:rPr>
          <w:rFonts w:ascii="Times New Roman" w:hAnsi="Times New Roman"/>
          <w:color w:val="000000"/>
          <w:highlight w:val="none"/>
        </w:rPr>
      </w:pPr>
    </w:p>
    <w:p>
      <w:pPr>
        <w:spacing w:line="400" w:lineRule="exact"/>
        <w:rPr>
          <w:rFonts w:ascii="Times New Roman" w:hAnsi="Times New Roman"/>
          <w:color w:val="000000"/>
          <w:highlight w:val="none"/>
        </w:rPr>
      </w:pPr>
    </w:p>
    <w:p>
      <w:pPr>
        <w:spacing w:line="400" w:lineRule="exact"/>
        <w:rPr>
          <w:rFonts w:ascii="Times New Roman" w:hAnsi="Times New Roman"/>
          <w:color w:val="000000"/>
          <w:highlight w:val="none"/>
        </w:rPr>
      </w:pPr>
    </w:p>
    <w:p>
      <w:pPr>
        <w:jc w:val="center"/>
        <w:rPr>
          <w:rFonts w:ascii="Times New Roman" w:hAnsi="Times New Roman" w:eastAsia="黑体"/>
          <w:sz w:val="28"/>
          <w:szCs w:val="28"/>
          <w:highlight w:val="none"/>
        </w:rPr>
      </w:pPr>
      <w:r>
        <w:rPr>
          <w:rFonts w:ascii="Times New Roman" w:hAnsi="Times New Roman" w:eastAsia="黑体"/>
          <w:sz w:val="28"/>
          <w:szCs w:val="28"/>
          <w:highlight w:val="none"/>
          <w:u w:val="single"/>
        </w:rPr>
        <w:t xml:space="preserve">        </w:t>
      </w:r>
      <w:r>
        <w:rPr>
          <w:rFonts w:ascii="Times New Roman" w:hAnsi="Times New Roman" w:eastAsia="黑体"/>
          <w:sz w:val="28"/>
          <w:szCs w:val="28"/>
          <w:highlight w:val="none"/>
        </w:rPr>
        <w:t>（项目名称）</w:t>
      </w:r>
      <w:r>
        <w:rPr>
          <w:rFonts w:ascii="Times New Roman" w:hAnsi="Times New Roman" w:eastAsia="黑体"/>
          <w:sz w:val="28"/>
          <w:szCs w:val="28"/>
          <w:highlight w:val="none"/>
          <w:u w:val="single"/>
        </w:rPr>
        <w:t xml:space="preserve">       </w:t>
      </w:r>
      <w:r>
        <w:rPr>
          <w:rFonts w:ascii="Times New Roman" w:hAnsi="Times New Roman" w:eastAsia="黑体"/>
          <w:sz w:val="28"/>
          <w:szCs w:val="28"/>
          <w:highlight w:val="none"/>
        </w:rPr>
        <w:t>（</w:t>
      </w:r>
      <w:r>
        <w:rPr>
          <w:rFonts w:hint="eastAsia" w:ascii="Times New Roman" w:hAnsi="Times New Roman" w:eastAsia="黑体"/>
          <w:sz w:val="28"/>
          <w:szCs w:val="28"/>
          <w:highlight w:val="none"/>
          <w:lang w:val="en-US" w:eastAsia="zh-CN"/>
        </w:rPr>
        <w:t>标段</w:t>
      </w:r>
      <w:r>
        <w:rPr>
          <w:rFonts w:ascii="Times New Roman" w:hAnsi="Times New Roman" w:eastAsia="黑体"/>
          <w:sz w:val="28"/>
          <w:szCs w:val="28"/>
          <w:highlight w:val="none"/>
        </w:rPr>
        <w:t>名称）</w:t>
      </w:r>
    </w:p>
    <w:p>
      <w:pPr>
        <w:jc w:val="center"/>
        <w:rPr>
          <w:rFonts w:ascii="Times New Roman" w:hAnsi="Times New Roman" w:eastAsia="黑体"/>
          <w:sz w:val="28"/>
          <w:szCs w:val="28"/>
          <w:highlight w:val="none"/>
        </w:rPr>
      </w:pPr>
    </w:p>
    <w:p>
      <w:pPr>
        <w:jc w:val="center"/>
        <w:rPr>
          <w:rFonts w:ascii="Times New Roman" w:hAnsi="Times New Roman" w:eastAsia="黑体"/>
          <w:sz w:val="28"/>
          <w:szCs w:val="28"/>
          <w:highlight w:val="none"/>
        </w:rPr>
      </w:pPr>
    </w:p>
    <w:p>
      <w:pPr>
        <w:spacing w:line="400" w:lineRule="exact"/>
        <w:rPr>
          <w:rFonts w:ascii="Times New Roman" w:hAnsi="Times New Roman"/>
          <w:color w:val="000000"/>
          <w:highlight w:val="none"/>
        </w:rPr>
      </w:pPr>
    </w:p>
    <w:p>
      <w:pPr>
        <w:spacing w:line="400" w:lineRule="exact"/>
        <w:jc w:val="right"/>
        <w:rPr>
          <w:rFonts w:ascii="Times New Roman" w:hAnsi="Times New Roman"/>
          <w:color w:val="000000"/>
          <w:highlight w:val="none"/>
        </w:rPr>
      </w:pPr>
    </w:p>
    <w:p>
      <w:pPr>
        <w:rPr>
          <w:rFonts w:ascii="Times New Roman" w:hAnsi="Times New Roman"/>
          <w:sz w:val="28"/>
          <w:szCs w:val="28"/>
          <w:highlight w:val="none"/>
        </w:rPr>
      </w:pPr>
    </w:p>
    <w:p>
      <w:pPr>
        <w:rPr>
          <w:rFonts w:ascii="Times New Roman" w:hAnsi="Times New Roman"/>
          <w:color w:val="000000"/>
          <w:sz w:val="28"/>
          <w:highlight w:val="none"/>
        </w:rPr>
      </w:pPr>
    </w:p>
    <w:p>
      <w:pPr>
        <w:jc w:val="center"/>
        <w:rPr>
          <w:rFonts w:ascii="Times New Roman" w:hAnsi="Times New Roman" w:eastAsia="黑体"/>
          <w:color w:val="000000"/>
          <w:sz w:val="44"/>
          <w:highlight w:val="none"/>
        </w:rPr>
      </w:pPr>
      <w:r>
        <w:rPr>
          <w:rFonts w:ascii="Times New Roman" w:hAnsi="Times New Roman" w:eastAsia="黑体"/>
          <w:color w:val="000000"/>
          <w:sz w:val="44"/>
          <w:highlight w:val="none"/>
        </w:rPr>
        <w:t>招标文件</w:t>
      </w:r>
    </w:p>
    <w:p>
      <w:pPr>
        <w:spacing w:line="400" w:lineRule="exact"/>
        <w:rPr>
          <w:rFonts w:ascii="Times New Roman" w:hAnsi="Times New Roman"/>
          <w:color w:val="000000"/>
          <w:highlight w:val="none"/>
        </w:rPr>
      </w:pPr>
    </w:p>
    <w:p>
      <w:pPr>
        <w:spacing w:line="400" w:lineRule="exact"/>
        <w:rPr>
          <w:rFonts w:ascii="Times New Roman" w:hAnsi="Times New Roman"/>
          <w:color w:val="000000"/>
          <w:highlight w:val="none"/>
        </w:rPr>
      </w:pPr>
    </w:p>
    <w:p>
      <w:pPr>
        <w:spacing w:line="400" w:lineRule="exact"/>
        <w:rPr>
          <w:rFonts w:ascii="Times New Roman" w:hAnsi="Times New Roman"/>
          <w:color w:val="000000"/>
          <w:highlight w:val="none"/>
        </w:rPr>
      </w:pPr>
    </w:p>
    <w:p>
      <w:pPr>
        <w:spacing w:line="400" w:lineRule="exact"/>
        <w:rPr>
          <w:rFonts w:ascii="Times New Roman" w:hAnsi="Times New Roman"/>
          <w:color w:val="000000"/>
          <w:highlight w:val="none"/>
        </w:rPr>
      </w:pPr>
    </w:p>
    <w:p>
      <w:pPr>
        <w:spacing w:line="400" w:lineRule="exact"/>
        <w:rPr>
          <w:rFonts w:ascii="Times New Roman" w:hAnsi="Times New Roman"/>
          <w:color w:val="000000"/>
          <w:highlight w:val="none"/>
        </w:rPr>
      </w:pPr>
    </w:p>
    <w:p>
      <w:pPr>
        <w:spacing w:line="400" w:lineRule="exact"/>
        <w:rPr>
          <w:rFonts w:ascii="Times New Roman" w:hAnsi="Times New Roman"/>
          <w:color w:val="000000"/>
          <w:highlight w:val="none"/>
        </w:rPr>
      </w:pPr>
    </w:p>
    <w:p>
      <w:pPr>
        <w:spacing w:line="400" w:lineRule="exact"/>
        <w:rPr>
          <w:rFonts w:ascii="Times New Roman" w:hAnsi="Times New Roman"/>
          <w:color w:val="000000"/>
          <w:highlight w:val="none"/>
        </w:rPr>
      </w:pPr>
    </w:p>
    <w:p>
      <w:pPr>
        <w:spacing w:line="400" w:lineRule="exact"/>
        <w:rPr>
          <w:rFonts w:ascii="Times New Roman" w:hAnsi="Times New Roman"/>
          <w:color w:val="000000"/>
          <w:highlight w:val="none"/>
        </w:rPr>
      </w:pPr>
    </w:p>
    <w:p>
      <w:pPr>
        <w:spacing w:line="400" w:lineRule="exact"/>
        <w:rPr>
          <w:rFonts w:ascii="Times New Roman" w:hAnsi="Times New Roman"/>
          <w:color w:val="000000"/>
          <w:highlight w:val="none"/>
        </w:rPr>
      </w:pPr>
    </w:p>
    <w:p>
      <w:pPr>
        <w:spacing w:line="400" w:lineRule="exact"/>
        <w:rPr>
          <w:rFonts w:ascii="Times New Roman" w:hAnsi="Times New Roman"/>
          <w:color w:val="000000"/>
          <w:highlight w:val="none"/>
        </w:rPr>
      </w:pPr>
    </w:p>
    <w:p>
      <w:pPr>
        <w:spacing w:line="400" w:lineRule="exact"/>
        <w:rPr>
          <w:rFonts w:ascii="Times New Roman" w:hAnsi="Times New Roman"/>
          <w:color w:val="000000"/>
          <w:highlight w:val="none"/>
        </w:rPr>
      </w:pPr>
    </w:p>
    <w:p>
      <w:pPr>
        <w:spacing w:line="400" w:lineRule="exact"/>
        <w:rPr>
          <w:rFonts w:ascii="Times New Roman" w:hAnsi="Times New Roman"/>
          <w:color w:val="000000"/>
          <w:highlight w:val="none"/>
        </w:rPr>
      </w:pPr>
    </w:p>
    <w:p>
      <w:pPr>
        <w:spacing w:line="400" w:lineRule="exact"/>
        <w:rPr>
          <w:rFonts w:ascii="Times New Roman" w:hAnsi="Times New Roman"/>
          <w:color w:val="000000"/>
          <w:highlight w:val="none"/>
        </w:rPr>
      </w:pPr>
    </w:p>
    <w:p>
      <w:pPr>
        <w:spacing w:line="400" w:lineRule="exact"/>
        <w:rPr>
          <w:rFonts w:hint="eastAsia" w:ascii="方正黑体_GBK" w:hAnsi="方正黑体_GBK" w:eastAsia="方正黑体_GBK" w:cs="方正黑体_GBK"/>
          <w:color w:val="000000"/>
          <w:highlight w:val="none"/>
        </w:rPr>
      </w:pPr>
    </w:p>
    <w:p>
      <w:pPr>
        <w:jc w:val="center"/>
        <w:rPr>
          <w:rFonts w:hint="eastAsia" w:ascii="方正黑体_GBK" w:hAnsi="方正黑体_GBK" w:eastAsia="方正黑体_GBK" w:cs="方正黑体_GBK"/>
          <w:b/>
          <w:sz w:val="32"/>
          <w:szCs w:val="32"/>
          <w:highlight w:val="none"/>
        </w:rPr>
      </w:pPr>
      <w:bookmarkStart w:id="0" w:name="_Toc256690495"/>
      <w:r>
        <w:rPr>
          <w:rFonts w:hint="eastAsia" w:ascii="方正黑体_GBK" w:hAnsi="方正黑体_GBK" w:eastAsia="方正黑体_GBK" w:cs="方正黑体_GBK"/>
          <w:b/>
          <w:sz w:val="32"/>
          <w:szCs w:val="32"/>
          <w:highlight w:val="none"/>
        </w:rPr>
        <w:t>招   标   人：</w:t>
      </w:r>
      <w:r>
        <w:rPr>
          <w:rFonts w:hint="eastAsia" w:ascii="方正黑体_GBK" w:hAnsi="方正黑体_GBK" w:eastAsia="方正黑体_GBK" w:cs="方正黑体_GBK"/>
          <w:b/>
          <w:sz w:val="32"/>
          <w:szCs w:val="32"/>
          <w:highlight w:val="none"/>
          <w:u w:val="single"/>
        </w:rPr>
        <w:t xml:space="preserve">                     </w:t>
      </w:r>
      <w:bookmarkEnd w:id="0"/>
      <w:r>
        <w:rPr>
          <w:rFonts w:hint="eastAsia" w:ascii="方正黑体_GBK" w:hAnsi="方正黑体_GBK" w:eastAsia="方正黑体_GBK" w:cs="方正黑体_GBK"/>
          <w:b/>
          <w:sz w:val="30"/>
          <w:szCs w:val="30"/>
          <w:highlight w:val="none"/>
          <w:u w:val="single"/>
        </w:rPr>
        <w:t>（盖单位章）</w:t>
      </w:r>
    </w:p>
    <w:p>
      <w:pPr>
        <w:jc w:val="center"/>
        <w:rPr>
          <w:rFonts w:hint="eastAsia" w:ascii="方正黑体_GBK" w:hAnsi="方正黑体_GBK" w:eastAsia="方正黑体_GBK" w:cs="方正黑体_GBK"/>
          <w:color w:val="000000"/>
          <w:sz w:val="28"/>
          <w:highlight w:val="none"/>
        </w:rPr>
      </w:pPr>
      <w:r>
        <w:rPr>
          <w:rFonts w:hint="eastAsia" w:ascii="方正黑体_GBK" w:hAnsi="方正黑体_GBK" w:eastAsia="方正黑体_GBK" w:cs="方正黑体_GBK"/>
          <w:b/>
          <w:sz w:val="32"/>
          <w:szCs w:val="32"/>
          <w:highlight w:val="none"/>
        </w:rPr>
        <w:t>招标代理机构：</w:t>
      </w:r>
      <w:r>
        <w:rPr>
          <w:rFonts w:hint="eastAsia" w:ascii="方正黑体_GBK" w:hAnsi="方正黑体_GBK" w:eastAsia="方正黑体_GBK" w:cs="方正黑体_GBK"/>
          <w:b/>
          <w:sz w:val="32"/>
          <w:szCs w:val="32"/>
          <w:highlight w:val="none"/>
          <w:u w:val="single"/>
        </w:rPr>
        <w:t xml:space="preserve">                     </w:t>
      </w:r>
      <w:r>
        <w:rPr>
          <w:rFonts w:hint="eastAsia" w:ascii="方正黑体_GBK" w:hAnsi="方正黑体_GBK" w:eastAsia="方正黑体_GBK" w:cs="方正黑体_GBK"/>
          <w:b/>
          <w:sz w:val="30"/>
          <w:szCs w:val="30"/>
          <w:highlight w:val="none"/>
          <w:u w:val="single"/>
        </w:rPr>
        <w:t>（盖单位章）</w:t>
      </w:r>
    </w:p>
    <w:p>
      <w:pPr>
        <w:jc w:val="center"/>
        <w:rPr>
          <w:rFonts w:hint="eastAsia" w:ascii="方正黑体_GBK" w:hAnsi="方正黑体_GBK" w:eastAsia="方正黑体_GBK" w:cs="方正黑体_GBK"/>
          <w:color w:val="000000"/>
          <w:sz w:val="28"/>
          <w:highlight w:val="none"/>
        </w:rPr>
      </w:pPr>
    </w:p>
    <w:p>
      <w:pPr>
        <w:jc w:val="center"/>
        <w:rPr>
          <w:rFonts w:hint="eastAsia" w:ascii="方正黑体_GBK" w:hAnsi="方正黑体_GBK" w:eastAsia="方正黑体_GBK" w:cs="方正黑体_GBK"/>
          <w:color w:val="000000"/>
          <w:sz w:val="28"/>
          <w:highlight w:val="none"/>
        </w:rPr>
      </w:pPr>
      <w:r>
        <w:rPr>
          <w:rFonts w:hint="eastAsia" w:ascii="方正黑体_GBK" w:hAnsi="方正黑体_GBK" w:eastAsia="方正黑体_GBK" w:cs="方正黑体_GBK"/>
          <w:color w:val="000000"/>
          <w:highlight w:val="none"/>
          <w:u w:val="single"/>
        </w:rPr>
        <w:t xml:space="preserve">       </w:t>
      </w:r>
      <w:r>
        <w:rPr>
          <w:rFonts w:hint="eastAsia" w:ascii="方正黑体_GBK" w:hAnsi="方正黑体_GBK" w:eastAsia="方正黑体_GBK" w:cs="方正黑体_GBK"/>
          <w:color w:val="000000"/>
          <w:sz w:val="28"/>
          <w:highlight w:val="none"/>
        </w:rPr>
        <w:t>年</w:t>
      </w:r>
      <w:r>
        <w:rPr>
          <w:rFonts w:hint="eastAsia" w:ascii="方正黑体_GBK" w:hAnsi="方正黑体_GBK" w:eastAsia="方正黑体_GBK" w:cs="方正黑体_GBK"/>
          <w:color w:val="000000"/>
          <w:highlight w:val="none"/>
          <w:u w:val="single"/>
        </w:rPr>
        <w:t xml:space="preserve">       </w:t>
      </w:r>
      <w:r>
        <w:rPr>
          <w:rFonts w:hint="eastAsia" w:ascii="方正黑体_GBK" w:hAnsi="方正黑体_GBK" w:eastAsia="方正黑体_GBK" w:cs="方正黑体_GBK"/>
          <w:color w:val="000000"/>
          <w:sz w:val="28"/>
          <w:highlight w:val="none"/>
        </w:rPr>
        <w:t>月</w:t>
      </w:r>
      <w:r>
        <w:rPr>
          <w:rFonts w:hint="eastAsia" w:ascii="方正黑体_GBK" w:hAnsi="方正黑体_GBK" w:eastAsia="方正黑体_GBK" w:cs="方正黑体_GBK"/>
          <w:color w:val="000000"/>
          <w:highlight w:val="none"/>
          <w:u w:val="single"/>
        </w:rPr>
        <w:t xml:space="preserve">       </w:t>
      </w:r>
      <w:r>
        <w:rPr>
          <w:rFonts w:hint="eastAsia" w:ascii="方正黑体_GBK" w:hAnsi="方正黑体_GBK" w:eastAsia="方正黑体_GBK" w:cs="方正黑体_GBK"/>
          <w:color w:val="000000"/>
          <w:sz w:val="28"/>
          <w:highlight w:val="none"/>
        </w:rPr>
        <w:t>日</w:t>
      </w:r>
    </w:p>
    <w:p>
      <w:pPr>
        <w:jc w:val="center"/>
        <w:rPr>
          <w:rFonts w:ascii="Times New Roman" w:hAnsi="Times New Roman" w:eastAsia="黑体"/>
          <w:color w:val="000000"/>
          <w:sz w:val="28"/>
          <w:highlight w:val="none"/>
        </w:rPr>
      </w:pPr>
    </w:p>
    <w:p>
      <w:pPr>
        <w:jc w:val="center"/>
        <w:rPr>
          <w:rFonts w:ascii="Times New Roman" w:hAnsi="Times New Roman"/>
          <w:color w:val="000000"/>
          <w:highlight w:val="none"/>
        </w:rPr>
      </w:pPr>
      <w:r>
        <w:rPr>
          <w:rFonts w:ascii="Times New Roman" w:hAnsi="Times New Roman"/>
          <w:color w:val="000000"/>
          <w:highlight w:val="none"/>
        </w:rPr>
        <w:br w:type="page"/>
      </w:r>
    </w:p>
    <w:p>
      <w:pPr>
        <w:pStyle w:val="40"/>
        <w:jc w:val="center"/>
        <w:rPr>
          <w:rFonts w:ascii="Times New Roman" w:hAnsi="Times New Roman" w:eastAsia="黑体"/>
          <w:b w:val="0"/>
          <w:color w:val="auto"/>
          <w:highlight w:val="none"/>
          <w:lang w:val="zh-CN"/>
        </w:rPr>
      </w:pPr>
      <w:bookmarkStart w:id="1" w:name="_Toc144974479"/>
      <w:bookmarkStart w:id="2" w:name="_Toc152042287"/>
      <w:bookmarkStart w:id="3" w:name="_Toc152045511"/>
    </w:p>
    <w:p>
      <w:pPr>
        <w:pStyle w:val="40"/>
        <w:jc w:val="center"/>
        <w:outlineLvl w:val="0"/>
        <w:rPr>
          <w:rFonts w:hint="eastAsia" w:asciiTheme="majorEastAsia" w:hAnsiTheme="majorEastAsia" w:eastAsiaTheme="majorEastAsia" w:cstheme="majorEastAsia"/>
          <w:b w:val="0"/>
          <w:color w:val="auto"/>
          <w:sz w:val="40"/>
          <w:szCs w:val="40"/>
          <w:highlight w:val="none"/>
        </w:rPr>
      </w:pPr>
      <w:bookmarkStart w:id="4" w:name="_Toc1553514925"/>
      <w:r>
        <w:rPr>
          <w:rFonts w:hint="eastAsia" w:asciiTheme="majorEastAsia" w:hAnsiTheme="majorEastAsia" w:eastAsiaTheme="majorEastAsia" w:cstheme="majorEastAsia"/>
          <w:b w:val="0"/>
          <w:color w:val="auto"/>
          <w:sz w:val="40"/>
          <w:szCs w:val="40"/>
          <w:highlight w:val="none"/>
          <w:lang w:val="zh-CN"/>
        </w:rPr>
        <w:t>目  录</w:t>
      </w:r>
      <w:bookmarkEnd w:id="4"/>
    </w:p>
    <w:sdt>
      <w:sdtPr>
        <w:rPr>
          <w:rFonts w:ascii="宋体" w:hAnsi="宋体" w:eastAsia="宋体" w:cs="Times New Roman"/>
          <w:kern w:val="2"/>
          <w:sz w:val="21"/>
          <w:szCs w:val="22"/>
          <w:lang w:val="en-US" w:eastAsia="zh-CN" w:bidi="ar-SA"/>
        </w:rPr>
        <w:id w:val="564280239"/>
        <w:docPartObj>
          <w:docPartGallery w:val="Table of Contents"/>
          <w:docPartUnique/>
        </w:docPartObj>
      </w:sdtPr>
      <w:sdtEndPr>
        <w:rPr>
          <w:rFonts w:ascii="宋体" w:hAnsi="宋体" w:eastAsia="宋体" w:cs="Times New Roman"/>
          <w:kern w:val="2"/>
          <w:sz w:val="21"/>
          <w:szCs w:val="22"/>
          <w:lang w:val="en-US" w:eastAsia="zh-CN" w:bidi="ar-SA"/>
        </w:rPr>
      </w:sdtEndPr>
      <w:sdtContent>
        <w:p>
          <w:pPr>
            <w:pStyle w:val="22"/>
            <w:tabs>
              <w:tab w:val="right" w:pos="4400"/>
              <w:tab w:val="right" w:leader="dot" w:pos="8310"/>
            </w:tabs>
          </w:pPr>
          <w:r>
            <w:fldChar w:fldCharType="begin"/>
          </w:r>
          <w:r>
            <w:instrText xml:space="preserve">TOC \o "1-3" \h \u </w:instrText>
          </w:r>
          <w:r>
            <w:fldChar w:fldCharType="separate"/>
          </w:r>
        </w:p>
        <w:p>
          <w:pPr>
            <w:pStyle w:val="22"/>
            <w:tabs>
              <w:tab w:val="right" w:leader="dot" w:pos="8310"/>
            </w:tabs>
          </w:pPr>
          <w:r>
            <w:fldChar w:fldCharType="begin"/>
          </w:r>
          <w:r>
            <w:instrText xml:space="preserve"> HYPERLINK \l _Toc1416407747 </w:instrText>
          </w:r>
          <w:r>
            <w:fldChar w:fldCharType="separate"/>
          </w:r>
          <w:r>
            <w:rPr>
              <w:highlight w:val="none"/>
            </w:rPr>
            <w:t>第一章招标公告（适用于公开招标）</w:t>
          </w:r>
          <w:r>
            <w:tab/>
          </w:r>
          <w:r>
            <w:fldChar w:fldCharType="begin"/>
          </w:r>
          <w:r>
            <w:instrText xml:space="preserve"> PAGEREF _Toc1416407747 </w:instrText>
          </w:r>
          <w:r>
            <w:fldChar w:fldCharType="separate"/>
          </w:r>
          <w:r>
            <w:t>1</w:t>
          </w:r>
          <w:r>
            <w:fldChar w:fldCharType="end"/>
          </w:r>
          <w:r>
            <w:fldChar w:fldCharType="end"/>
          </w:r>
        </w:p>
        <w:p>
          <w:pPr>
            <w:pStyle w:val="26"/>
            <w:tabs>
              <w:tab w:val="right" w:leader="dot" w:pos="8310"/>
            </w:tabs>
          </w:pPr>
          <w:r>
            <w:fldChar w:fldCharType="begin"/>
          </w:r>
          <w:r>
            <w:instrText xml:space="preserve"> HYPERLINK \l _Toc609296234 </w:instrText>
          </w:r>
          <w:r>
            <w:fldChar w:fldCharType="separate"/>
          </w:r>
          <w:r>
            <w:rPr>
              <w:rFonts w:hint="eastAsia" w:ascii="黑体" w:hAnsi="黑体" w:cs="Calibri"/>
              <w:szCs w:val="32"/>
              <w:highlight w:val="none"/>
            </w:rPr>
            <w:t>1. 招标条件</w:t>
          </w:r>
          <w:r>
            <w:tab/>
          </w:r>
          <w:r>
            <w:fldChar w:fldCharType="begin"/>
          </w:r>
          <w:r>
            <w:instrText xml:space="preserve"> PAGEREF _Toc609296234 </w:instrText>
          </w:r>
          <w:r>
            <w:fldChar w:fldCharType="separate"/>
          </w:r>
          <w:r>
            <w:t>1</w:t>
          </w:r>
          <w:r>
            <w:fldChar w:fldCharType="end"/>
          </w:r>
          <w:r>
            <w:fldChar w:fldCharType="end"/>
          </w:r>
        </w:p>
        <w:p>
          <w:pPr>
            <w:pStyle w:val="26"/>
            <w:tabs>
              <w:tab w:val="right" w:leader="dot" w:pos="8310"/>
            </w:tabs>
          </w:pPr>
          <w:r>
            <w:fldChar w:fldCharType="begin"/>
          </w:r>
          <w:r>
            <w:instrText xml:space="preserve"> HYPERLINK \l _Toc824289631 </w:instrText>
          </w:r>
          <w:r>
            <w:fldChar w:fldCharType="separate"/>
          </w:r>
          <w:r>
            <w:rPr>
              <w:rFonts w:hint="eastAsia" w:ascii="黑体" w:hAnsi="黑体" w:cs="Calibri"/>
              <w:szCs w:val="32"/>
              <w:highlight w:val="none"/>
            </w:rPr>
            <w:t>2. 项目概况与招标范围</w:t>
          </w:r>
          <w:r>
            <w:tab/>
          </w:r>
          <w:r>
            <w:fldChar w:fldCharType="begin"/>
          </w:r>
          <w:r>
            <w:instrText xml:space="preserve"> PAGEREF _Toc824289631 </w:instrText>
          </w:r>
          <w:r>
            <w:fldChar w:fldCharType="separate"/>
          </w:r>
          <w:r>
            <w:t>1</w:t>
          </w:r>
          <w:r>
            <w:fldChar w:fldCharType="end"/>
          </w:r>
          <w:r>
            <w:fldChar w:fldCharType="end"/>
          </w:r>
        </w:p>
        <w:p>
          <w:pPr>
            <w:pStyle w:val="26"/>
            <w:tabs>
              <w:tab w:val="right" w:leader="dot" w:pos="8310"/>
            </w:tabs>
            <w:rPr>
              <w:rFonts w:hint="eastAsia" w:ascii="黑体" w:hAnsi="黑体" w:cs="Calibri"/>
              <w:szCs w:val="32"/>
              <w:highlight w:val="none"/>
            </w:rPr>
          </w:pPr>
          <w:r>
            <w:rPr>
              <w:rFonts w:hint="eastAsia" w:ascii="黑体" w:hAnsi="黑体" w:cs="Calibri"/>
              <w:szCs w:val="32"/>
              <w:highlight w:val="none"/>
            </w:rPr>
            <w:fldChar w:fldCharType="begin"/>
          </w:r>
          <w:r>
            <w:rPr>
              <w:rFonts w:hint="eastAsia" w:ascii="黑体" w:hAnsi="黑体" w:cs="Calibri"/>
              <w:szCs w:val="32"/>
              <w:highlight w:val="none"/>
            </w:rPr>
            <w:instrText xml:space="preserve"> HYPERLINK \l _Toc73835126 </w:instrText>
          </w:r>
          <w:r>
            <w:rPr>
              <w:rFonts w:hint="eastAsia" w:ascii="黑体" w:hAnsi="黑体" w:cs="Calibri"/>
              <w:szCs w:val="32"/>
              <w:highlight w:val="none"/>
            </w:rPr>
            <w:fldChar w:fldCharType="separate"/>
          </w:r>
          <w:r>
            <w:rPr>
              <w:rFonts w:hint="eastAsia" w:ascii="黑体" w:hAnsi="黑体" w:cs="Calibri"/>
              <w:szCs w:val="32"/>
              <w:highlight w:val="none"/>
            </w:rPr>
            <w:t>3. 投标人资格要求</w:t>
          </w:r>
          <w:r>
            <w:rPr>
              <w:rFonts w:hint="eastAsia" w:ascii="黑体" w:hAnsi="黑体" w:cs="Calibri"/>
              <w:szCs w:val="32"/>
              <w:highlight w:val="none"/>
            </w:rPr>
            <w:tab/>
          </w:r>
          <w:r>
            <w:rPr>
              <w:rFonts w:hint="eastAsia" w:ascii="黑体" w:hAnsi="黑体" w:cs="Calibri"/>
              <w:szCs w:val="32"/>
              <w:highlight w:val="none"/>
            </w:rPr>
            <w:fldChar w:fldCharType="begin"/>
          </w:r>
          <w:r>
            <w:rPr>
              <w:rFonts w:hint="eastAsia" w:ascii="黑体" w:hAnsi="黑体" w:cs="Calibri"/>
              <w:szCs w:val="32"/>
              <w:highlight w:val="none"/>
            </w:rPr>
            <w:instrText xml:space="preserve"> PAGEREF _Toc73835126 </w:instrText>
          </w:r>
          <w:r>
            <w:rPr>
              <w:rFonts w:hint="eastAsia" w:ascii="黑体" w:hAnsi="黑体" w:cs="Calibri"/>
              <w:szCs w:val="32"/>
              <w:highlight w:val="none"/>
            </w:rPr>
            <w:fldChar w:fldCharType="separate"/>
          </w:r>
          <w:r>
            <w:rPr>
              <w:rFonts w:hint="eastAsia" w:ascii="黑体" w:hAnsi="黑体" w:cs="Calibri"/>
              <w:szCs w:val="32"/>
              <w:highlight w:val="none"/>
            </w:rPr>
            <w:t>1</w:t>
          </w:r>
          <w:r>
            <w:rPr>
              <w:rFonts w:hint="eastAsia" w:ascii="黑体" w:hAnsi="黑体" w:cs="Calibri"/>
              <w:szCs w:val="32"/>
              <w:highlight w:val="none"/>
            </w:rPr>
            <w:fldChar w:fldCharType="end"/>
          </w:r>
          <w:r>
            <w:rPr>
              <w:rFonts w:hint="eastAsia" w:ascii="黑体" w:hAnsi="黑体" w:cs="Calibri"/>
              <w:szCs w:val="32"/>
              <w:highlight w:val="none"/>
            </w:rPr>
            <w:fldChar w:fldCharType="end"/>
          </w:r>
        </w:p>
        <w:p>
          <w:pPr>
            <w:pStyle w:val="26"/>
            <w:tabs>
              <w:tab w:val="right" w:leader="dot" w:pos="8310"/>
            </w:tabs>
          </w:pPr>
          <w:r>
            <w:rPr>
              <w:rFonts w:hint="eastAsia" w:ascii="黑体" w:hAnsi="黑体" w:cs="Calibri"/>
              <w:szCs w:val="32"/>
              <w:highlight w:val="none"/>
            </w:rPr>
            <w:fldChar w:fldCharType="begin"/>
          </w:r>
          <w:r>
            <w:rPr>
              <w:rFonts w:hint="eastAsia" w:ascii="黑体" w:hAnsi="黑体" w:cs="Calibri"/>
              <w:szCs w:val="32"/>
              <w:highlight w:val="none"/>
            </w:rPr>
            <w:instrText xml:space="preserve"> HYPERLINK \l _Toc491035980 </w:instrText>
          </w:r>
          <w:r>
            <w:rPr>
              <w:rFonts w:hint="eastAsia" w:ascii="黑体" w:hAnsi="黑体" w:cs="Calibri"/>
              <w:szCs w:val="32"/>
              <w:highlight w:val="none"/>
            </w:rPr>
            <w:fldChar w:fldCharType="separate"/>
          </w:r>
          <w:r>
            <w:rPr>
              <w:rFonts w:hint="eastAsia" w:ascii="黑体" w:hAnsi="黑体" w:eastAsia="宋体" w:cs="Calibri"/>
              <w:bCs w:val="0"/>
              <w:szCs w:val="32"/>
              <w:highlight w:val="none"/>
            </w:rPr>
            <w:t>4. 关注项目</w:t>
          </w:r>
          <w:r>
            <w:rPr>
              <w:rFonts w:hint="eastAsia" w:ascii="黑体" w:hAnsi="黑体" w:cs="Calibri"/>
              <w:szCs w:val="32"/>
              <w:highlight w:val="none"/>
            </w:rPr>
            <w:tab/>
          </w:r>
          <w:r>
            <w:rPr>
              <w:rFonts w:hint="eastAsia" w:ascii="黑体" w:hAnsi="黑体" w:cs="Calibri"/>
              <w:szCs w:val="32"/>
              <w:highlight w:val="none"/>
            </w:rPr>
            <w:fldChar w:fldCharType="begin"/>
          </w:r>
          <w:r>
            <w:rPr>
              <w:rFonts w:hint="eastAsia" w:ascii="黑体" w:hAnsi="黑体" w:cs="Calibri"/>
              <w:szCs w:val="32"/>
              <w:highlight w:val="none"/>
            </w:rPr>
            <w:instrText xml:space="preserve"> PAGEREF _Toc491035980 </w:instrText>
          </w:r>
          <w:r>
            <w:rPr>
              <w:rFonts w:hint="eastAsia" w:ascii="黑体" w:hAnsi="黑体" w:cs="Calibri"/>
              <w:szCs w:val="32"/>
              <w:highlight w:val="none"/>
            </w:rPr>
            <w:fldChar w:fldCharType="separate"/>
          </w:r>
          <w:r>
            <w:rPr>
              <w:rFonts w:hint="eastAsia" w:ascii="黑体" w:hAnsi="黑体" w:cs="Calibri"/>
              <w:szCs w:val="32"/>
              <w:highlight w:val="none"/>
            </w:rPr>
            <w:t>1</w:t>
          </w:r>
          <w:r>
            <w:rPr>
              <w:rFonts w:hint="eastAsia" w:ascii="黑体" w:hAnsi="黑体" w:cs="Calibri"/>
              <w:szCs w:val="32"/>
              <w:highlight w:val="none"/>
            </w:rPr>
            <w:fldChar w:fldCharType="end"/>
          </w:r>
          <w:r>
            <w:rPr>
              <w:rFonts w:hint="eastAsia" w:ascii="黑体" w:hAnsi="黑体" w:cs="Calibri"/>
              <w:szCs w:val="32"/>
              <w:highlight w:val="none"/>
            </w:rPr>
            <w:fldChar w:fldCharType="end"/>
          </w:r>
        </w:p>
        <w:p>
          <w:pPr>
            <w:pStyle w:val="26"/>
            <w:tabs>
              <w:tab w:val="right" w:leader="dot" w:pos="8310"/>
            </w:tabs>
          </w:pPr>
          <w:r>
            <w:fldChar w:fldCharType="begin"/>
          </w:r>
          <w:r>
            <w:instrText xml:space="preserve"> HYPERLINK \l _Toc881316141 </w:instrText>
          </w:r>
          <w:r>
            <w:fldChar w:fldCharType="separate"/>
          </w:r>
          <w:r>
            <w:rPr>
              <w:rFonts w:hint="eastAsia" w:ascii="黑体" w:hAnsi="黑体" w:cs="Calibri"/>
              <w:szCs w:val="32"/>
              <w:highlight w:val="none"/>
              <w:lang w:val="en-US" w:eastAsia="zh-CN"/>
            </w:rPr>
            <w:t>5</w:t>
          </w:r>
          <w:r>
            <w:rPr>
              <w:rFonts w:hint="eastAsia" w:ascii="黑体" w:hAnsi="黑体" w:cs="Calibri"/>
              <w:szCs w:val="32"/>
              <w:highlight w:val="none"/>
            </w:rPr>
            <w:t>. 招标文件的获取</w:t>
          </w:r>
          <w:r>
            <w:tab/>
          </w:r>
          <w:r>
            <w:fldChar w:fldCharType="begin"/>
          </w:r>
          <w:r>
            <w:instrText xml:space="preserve"> PAGEREF _Toc881316141 </w:instrText>
          </w:r>
          <w:r>
            <w:fldChar w:fldCharType="separate"/>
          </w:r>
          <w:r>
            <w:t>1</w:t>
          </w:r>
          <w:r>
            <w:fldChar w:fldCharType="end"/>
          </w:r>
          <w:r>
            <w:fldChar w:fldCharType="end"/>
          </w:r>
        </w:p>
        <w:p>
          <w:pPr>
            <w:pStyle w:val="26"/>
            <w:tabs>
              <w:tab w:val="right" w:leader="dot" w:pos="8310"/>
            </w:tabs>
          </w:pPr>
          <w:r>
            <w:fldChar w:fldCharType="begin"/>
          </w:r>
          <w:r>
            <w:instrText xml:space="preserve"> HYPERLINK \l _Toc1429618905 </w:instrText>
          </w:r>
          <w:r>
            <w:fldChar w:fldCharType="separate"/>
          </w:r>
          <w:r>
            <w:rPr>
              <w:rFonts w:hint="eastAsia" w:ascii="黑体" w:hAnsi="黑体" w:cs="Calibri"/>
              <w:szCs w:val="32"/>
              <w:highlight w:val="none"/>
              <w:lang w:val="en-US" w:eastAsia="zh-CN"/>
            </w:rPr>
            <w:t>6</w:t>
          </w:r>
          <w:r>
            <w:rPr>
              <w:rFonts w:hint="eastAsia" w:ascii="黑体" w:hAnsi="黑体" w:cs="Calibri"/>
              <w:szCs w:val="32"/>
              <w:highlight w:val="none"/>
            </w:rPr>
            <w:t>. 投标文件的递交</w:t>
          </w:r>
          <w:r>
            <w:tab/>
          </w:r>
          <w:r>
            <w:fldChar w:fldCharType="begin"/>
          </w:r>
          <w:r>
            <w:instrText xml:space="preserve"> PAGEREF _Toc1429618905 </w:instrText>
          </w:r>
          <w:r>
            <w:fldChar w:fldCharType="separate"/>
          </w:r>
          <w:r>
            <w:t>2</w:t>
          </w:r>
          <w:r>
            <w:fldChar w:fldCharType="end"/>
          </w:r>
          <w:r>
            <w:fldChar w:fldCharType="end"/>
          </w:r>
        </w:p>
        <w:p>
          <w:pPr>
            <w:pStyle w:val="26"/>
            <w:tabs>
              <w:tab w:val="right" w:leader="dot" w:pos="8310"/>
            </w:tabs>
          </w:pPr>
          <w:r>
            <w:fldChar w:fldCharType="begin"/>
          </w:r>
          <w:r>
            <w:instrText xml:space="preserve"> HYPERLINK \l _Toc533748495 </w:instrText>
          </w:r>
          <w:r>
            <w:fldChar w:fldCharType="separate"/>
          </w:r>
          <w:r>
            <w:rPr>
              <w:rFonts w:hint="eastAsia" w:ascii="黑体" w:hAnsi="黑体" w:cs="Calibri"/>
              <w:szCs w:val="32"/>
              <w:highlight w:val="none"/>
              <w:lang w:val="en-US" w:eastAsia="zh-CN"/>
            </w:rPr>
            <w:t>7</w:t>
          </w:r>
          <w:r>
            <w:rPr>
              <w:rFonts w:hint="eastAsia" w:ascii="黑体" w:hAnsi="黑体" w:cs="Calibri"/>
              <w:kern w:val="2"/>
              <w:szCs w:val="32"/>
              <w:highlight w:val="none"/>
            </w:rPr>
            <w:t>.开标时间及地点</w:t>
          </w:r>
          <w:r>
            <w:tab/>
          </w:r>
          <w:r>
            <w:fldChar w:fldCharType="begin"/>
          </w:r>
          <w:r>
            <w:instrText xml:space="preserve"> PAGEREF _Toc533748495 </w:instrText>
          </w:r>
          <w:r>
            <w:fldChar w:fldCharType="separate"/>
          </w:r>
          <w:r>
            <w:t>2</w:t>
          </w:r>
          <w:r>
            <w:fldChar w:fldCharType="end"/>
          </w:r>
          <w:r>
            <w:fldChar w:fldCharType="end"/>
          </w:r>
        </w:p>
        <w:p>
          <w:pPr>
            <w:pStyle w:val="26"/>
            <w:tabs>
              <w:tab w:val="right" w:leader="dot" w:pos="8310"/>
            </w:tabs>
          </w:pPr>
          <w:r>
            <w:fldChar w:fldCharType="begin"/>
          </w:r>
          <w:r>
            <w:instrText xml:space="preserve"> HYPERLINK \l _Toc1361861974 </w:instrText>
          </w:r>
          <w:r>
            <w:fldChar w:fldCharType="separate"/>
          </w:r>
          <w:r>
            <w:rPr>
              <w:rFonts w:hint="eastAsia" w:ascii="黑体" w:hAnsi="黑体" w:cs="Calibri"/>
              <w:szCs w:val="32"/>
              <w:highlight w:val="none"/>
              <w:lang w:val="en-US" w:eastAsia="zh-CN"/>
            </w:rPr>
            <w:t>8</w:t>
          </w:r>
          <w:r>
            <w:rPr>
              <w:rFonts w:hint="eastAsia" w:ascii="黑体" w:hAnsi="黑体" w:cs="Calibri"/>
              <w:szCs w:val="32"/>
              <w:highlight w:val="none"/>
            </w:rPr>
            <w:t>. 发布公告的媒介</w:t>
          </w:r>
          <w:r>
            <w:tab/>
          </w:r>
          <w:r>
            <w:fldChar w:fldCharType="begin"/>
          </w:r>
          <w:r>
            <w:instrText xml:space="preserve"> PAGEREF _Toc1361861974 </w:instrText>
          </w:r>
          <w:r>
            <w:fldChar w:fldCharType="separate"/>
          </w:r>
          <w:r>
            <w:t>2</w:t>
          </w:r>
          <w:r>
            <w:fldChar w:fldCharType="end"/>
          </w:r>
          <w:r>
            <w:fldChar w:fldCharType="end"/>
          </w:r>
        </w:p>
        <w:p>
          <w:pPr>
            <w:pStyle w:val="26"/>
            <w:tabs>
              <w:tab w:val="right" w:leader="dot" w:pos="8310"/>
            </w:tabs>
          </w:pPr>
          <w:r>
            <w:fldChar w:fldCharType="begin"/>
          </w:r>
          <w:r>
            <w:instrText xml:space="preserve"> HYPERLINK \l _Toc560323745 </w:instrText>
          </w:r>
          <w:r>
            <w:fldChar w:fldCharType="separate"/>
          </w:r>
          <w:r>
            <w:rPr>
              <w:rFonts w:hint="eastAsia" w:ascii="黑体" w:hAnsi="黑体" w:cs="Calibri"/>
              <w:szCs w:val="32"/>
              <w:highlight w:val="none"/>
              <w:lang w:eastAsia="zh-CN"/>
            </w:rPr>
            <w:t>9</w:t>
          </w:r>
          <w:r>
            <w:rPr>
              <w:rFonts w:hint="eastAsia" w:ascii="黑体" w:hAnsi="黑体" w:cs="Calibri"/>
              <w:szCs w:val="32"/>
              <w:highlight w:val="none"/>
            </w:rPr>
            <w:t>. 注意事项</w:t>
          </w:r>
          <w:r>
            <w:tab/>
          </w:r>
          <w:r>
            <w:fldChar w:fldCharType="begin"/>
          </w:r>
          <w:r>
            <w:instrText xml:space="preserve"> PAGEREF _Toc560323745 </w:instrText>
          </w:r>
          <w:r>
            <w:fldChar w:fldCharType="separate"/>
          </w:r>
          <w:r>
            <w:t>2</w:t>
          </w:r>
          <w:r>
            <w:fldChar w:fldCharType="end"/>
          </w:r>
          <w:r>
            <w:fldChar w:fldCharType="end"/>
          </w:r>
        </w:p>
        <w:p>
          <w:pPr>
            <w:pStyle w:val="26"/>
            <w:tabs>
              <w:tab w:val="right" w:leader="dot" w:pos="8310"/>
            </w:tabs>
            <w:rPr>
              <w:rFonts w:hint="eastAsia" w:ascii="黑体" w:hAnsi="黑体" w:cs="Calibri"/>
              <w:szCs w:val="32"/>
              <w:highlight w:val="none"/>
            </w:rPr>
          </w:pPr>
          <w:r>
            <w:rPr>
              <w:rFonts w:hint="eastAsia" w:ascii="黑体" w:hAnsi="黑体" w:cs="Calibri"/>
              <w:szCs w:val="32"/>
              <w:highlight w:val="none"/>
            </w:rPr>
            <w:fldChar w:fldCharType="begin"/>
          </w:r>
          <w:r>
            <w:rPr>
              <w:rFonts w:hint="eastAsia" w:ascii="黑体" w:hAnsi="黑体" w:cs="Calibri"/>
              <w:szCs w:val="32"/>
              <w:highlight w:val="none"/>
            </w:rPr>
            <w:instrText xml:space="preserve"> HYPERLINK \l _Toc1435828971 </w:instrText>
          </w:r>
          <w:r>
            <w:rPr>
              <w:rFonts w:hint="eastAsia" w:ascii="黑体" w:hAnsi="黑体" w:cs="Calibri"/>
              <w:szCs w:val="32"/>
              <w:highlight w:val="none"/>
            </w:rPr>
            <w:fldChar w:fldCharType="separate"/>
          </w:r>
          <w:r>
            <w:rPr>
              <w:rFonts w:hint="eastAsia" w:ascii="黑体" w:hAnsi="黑体" w:cs="Calibri"/>
              <w:szCs w:val="32"/>
              <w:highlight w:val="none"/>
              <w:lang w:val="en-US" w:eastAsia="zh-CN"/>
            </w:rPr>
            <w:t>10</w:t>
          </w:r>
          <w:r>
            <w:rPr>
              <w:rFonts w:hint="eastAsia" w:ascii="黑体" w:hAnsi="黑体" w:cs="Calibri"/>
              <w:szCs w:val="32"/>
              <w:highlight w:val="none"/>
            </w:rPr>
            <w:t>. 联系方式</w:t>
          </w:r>
          <w:r>
            <w:rPr>
              <w:rFonts w:hint="eastAsia" w:ascii="黑体" w:hAnsi="黑体" w:cs="Calibri"/>
              <w:szCs w:val="32"/>
              <w:highlight w:val="none"/>
            </w:rPr>
            <w:tab/>
          </w:r>
          <w:r>
            <w:rPr>
              <w:rFonts w:hint="eastAsia" w:ascii="黑体" w:hAnsi="黑体" w:cs="Calibri"/>
              <w:szCs w:val="32"/>
              <w:highlight w:val="none"/>
            </w:rPr>
            <w:fldChar w:fldCharType="begin"/>
          </w:r>
          <w:r>
            <w:rPr>
              <w:rFonts w:hint="eastAsia" w:ascii="黑体" w:hAnsi="黑体" w:cs="Calibri"/>
              <w:szCs w:val="32"/>
              <w:highlight w:val="none"/>
            </w:rPr>
            <w:instrText xml:space="preserve"> PAGEREF _Toc1435828971 </w:instrText>
          </w:r>
          <w:r>
            <w:rPr>
              <w:rFonts w:hint="eastAsia" w:ascii="黑体" w:hAnsi="黑体" w:cs="Calibri"/>
              <w:szCs w:val="32"/>
              <w:highlight w:val="none"/>
            </w:rPr>
            <w:fldChar w:fldCharType="separate"/>
          </w:r>
          <w:r>
            <w:rPr>
              <w:rFonts w:hint="eastAsia" w:ascii="黑体" w:hAnsi="黑体" w:cs="Calibri"/>
              <w:szCs w:val="32"/>
              <w:highlight w:val="none"/>
            </w:rPr>
            <w:t>2</w:t>
          </w:r>
          <w:r>
            <w:rPr>
              <w:rFonts w:hint="eastAsia" w:ascii="黑体" w:hAnsi="黑体" w:cs="Calibri"/>
              <w:szCs w:val="32"/>
              <w:highlight w:val="none"/>
            </w:rPr>
            <w:fldChar w:fldCharType="end"/>
          </w:r>
          <w:r>
            <w:rPr>
              <w:rFonts w:hint="eastAsia" w:ascii="黑体" w:hAnsi="黑体" w:cs="Calibri"/>
              <w:szCs w:val="32"/>
              <w:highlight w:val="none"/>
            </w:rPr>
            <w:fldChar w:fldCharType="end"/>
          </w:r>
        </w:p>
        <w:p>
          <w:pPr>
            <w:pStyle w:val="26"/>
            <w:tabs>
              <w:tab w:val="right" w:leader="dot" w:pos="8310"/>
            </w:tabs>
          </w:pPr>
          <w:r>
            <w:rPr>
              <w:rFonts w:hint="eastAsia" w:ascii="黑体" w:hAnsi="黑体" w:cs="Calibri"/>
              <w:szCs w:val="32"/>
              <w:highlight w:val="none"/>
            </w:rPr>
            <w:fldChar w:fldCharType="begin"/>
          </w:r>
          <w:r>
            <w:rPr>
              <w:rFonts w:hint="eastAsia" w:ascii="黑体" w:hAnsi="黑体" w:cs="Calibri"/>
              <w:szCs w:val="32"/>
              <w:highlight w:val="none"/>
            </w:rPr>
            <w:instrText xml:space="preserve"> HYPERLINK \l _Toc1041658481 </w:instrText>
          </w:r>
          <w:r>
            <w:rPr>
              <w:rFonts w:hint="eastAsia" w:ascii="黑体" w:hAnsi="黑体" w:cs="Calibri"/>
              <w:szCs w:val="32"/>
              <w:highlight w:val="none"/>
            </w:rPr>
            <w:fldChar w:fldCharType="separate"/>
          </w:r>
          <w:r>
            <w:rPr>
              <w:rFonts w:hint="eastAsia" w:ascii="黑体" w:hAnsi="黑体" w:eastAsia="宋体" w:cs="Calibri"/>
              <w:szCs w:val="32"/>
              <w:highlight w:val="none"/>
              <w:lang w:val="en-US" w:eastAsia="zh-CN"/>
            </w:rPr>
            <w:t>12. 11.</w:t>
          </w:r>
          <w:r>
            <w:rPr>
              <w:rFonts w:hint="eastAsia" w:ascii="黑体" w:hAnsi="黑体" w:eastAsia="宋体" w:cs="Calibri"/>
              <w:bCs w:val="0"/>
              <w:kern w:val="2"/>
              <w:szCs w:val="32"/>
              <w:highlight w:val="none"/>
              <w:lang w:val="en-US" w:eastAsia="zh-CN" w:bidi="ar-SA"/>
            </w:rPr>
            <w:t>受理</w:t>
          </w:r>
          <w:r>
            <w:rPr>
              <w:rFonts w:hint="eastAsia" w:ascii="黑体" w:hAnsi="黑体" w:eastAsia="宋体" w:cs="Calibri"/>
              <w:szCs w:val="32"/>
              <w:highlight w:val="none"/>
              <w:lang w:val="en-US" w:eastAsia="zh-CN"/>
            </w:rPr>
            <w:t>异议的监督部门和联系方式</w:t>
          </w:r>
          <w:r>
            <w:rPr>
              <w:rFonts w:hint="eastAsia" w:ascii="黑体" w:hAnsi="黑体" w:cs="Calibri"/>
              <w:szCs w:val="32"/>
              <w:highlight w:val="none"/>
            </w:rPr>
            <w:tab/>
          </w:r>
          <w:r>
            <w:rPr>
              <w:rFonts w:hint="eastAsia" w:ascii="黑体" w:hAnsi="黑体" w:cs="Calibri"/>
              <w:szCs w:val="32"/>
              <w:highlight w:val="none"/>
            </w:rPr>
            <w:fldChar w:fldCharType="begin"/>
          </w:r>
          <w:r>
            <w:rPr>
              <w:rFonts w:hint="eastAsia" w:ascii="黑体" w:hAnsi="黑体" w:cs="Calibri"/>
              <w:szCs w:val="32"/>
              <w:highlight w:val="none"/>
            </w:rPr>
            <w:instrText xml:space="preserve"> PAGEREF _Toc1041658481 </w:instrText>
          </w:r>
          <w:r>
            <w:rPr>
              <w:rFonts w:hint="eastAsia" w:ascii="黑体" w:hAnsi="黑体" w:cs="Calibri"/>
              <w:szCs w:val="32"/>
              <w:highlight w:val="none"/>
            </w:rPr>
            <w:fldChar w:fldCharType="separate"/>
          </w:r>
          <w:r>
            <w:rPr>
              <w:rFonts w:hint="eastAsia" w:ascii="黑体" w:hAnsi="黑体" w:cs="Calibri"/>
              <w:szCs w:val="32"/>
              <w:highlight w:val="none"/>
            </w:rPr>
            <w:t>3</w:t>
          </w:r>
          <w:r>
            <w:rPr>
              <w:rFonts w:hint="eastAsia" w:ascii="黑体" w:hAnsi="黑体" w:cs="Calibri"/>
              <w:szCs w:val="32"/>
              <w:highlight w:val="none"/>
            </w:rPr>
            <w:fldChar w:fldCharType="end"/>
          </w:r>
          <w:r>
            <w:rPr>
              <w:rFonts w:hint="eastAsia" w:ascii="黑体" w:hAnsi="黑体" w:cs="Calibri"/>
              <w:szCs w:val="32"/>
              <w:highlight w:val="none"/>
            </w:rPr>
            <w:fldChar w:fldCharType="end"/>
          </w:r>
        </w:p>
        <w:p>
          <w:pPr>
            <w:pStyle w:val="22"/>
            <w:tabs>
              <w:tab w:val="right" w:leader="dot" w:pos="8310"/>
            </w:tabs>
          </w:pPr>
          <w:r>
            <w:fldChar w:fldCharType="begin"/>
          </w:r>
          <w:r>
            <w:instrText xml:space="preserve"> HYPERLINK \l _Toc2139838389 </w:instrText>
          </w:r>
          <w:r>
            <w:fldChar w:fldCharType="separate"/>
          </w:r>
          <w:r>
            <w:rPr>
              <w:highlight w:val="none"/>
            </w:rPr>
            <w:t>第一章投标邀请书（适用于邀请招标）</w:t>
          </w:r>
          <w:r>
            <w:tab/>
          </w:r>
          <w:r>
            <w:fldChar w:fldCharType="begin"/>
          </w:r>
          <w:r>
            <w:instrText xml:space="preserve"> PAGEREF _Toc2139838389 </w:instrText>
          </w:r>
          <w:r>
            <w:fldChar w:fldCharType="separate"/>
          </w:r>
          <w:r>
            <w:t>4</w:t>
          </w:r>
          <w:r>
            <w:fldChar w:fldCharType="end"/>
          </w:r>
          <w:r>
            <w:fldChar w:fldCharType="end"/>
          </w:r>
        </w:p>
        <w:p>
          <w:pPr>
            <w:pStyle w:val="26"/>
            <w:tabs>
              <w:tab w:val="right" w:leader="dot" w:pos="8310"/>
            </w:tabs>
          </w:pPr>
          <w:r>
            <w:fldChar w:fldCharType="begin"/>
          </w:r>
          <w:r>
            <w:instrText xml:space="preserve"> HYPERLINK \l _Toc1415678675 </w:instrText>
          </w:r>
          <w:r>
            <w:fldChar w:fldCharType="separate"/>
          </w:r>
          <w:r>
            <w:rPr>
              <w:rFonts w:hint="eastAsia" w:ascii="黑体" w:hAnsi="黑体" w:cs="Calibri"/>
              <w:szCs w:val="32"/>
              <w:highlight w:val="none"/>
            </w:rPr>
            <w:t>1. 招标条件</w:t>
          </w:r>
          <w:r>
            <w:tab/>
          </w:r>
          <w:r>
            <w:fldChar w:fldCharType="begin"/>
          </w:r>
          <w:r>
            <w:instrText xml:space="preserve"> PAGEREF _Toc1415678675 </w:instrText>
          </w:r>
          <w:r>
            <w:fldChar w:fldCharType="separate"/>
          </w:r>
          <w:r>
            <w:t>4</w:t>
          </w:r>
          <w:r>
            <w:fldChar w:fldCharType="end"/>
          </w:r>
          <w:r>
            <w:fldChar w:fldCharType="end"/>
          </w:r>
        </w:p>
        <w:p>
          <w:pPr>
            <w:pStyle w:val="26"/>
            <w:tabs>
              <w:tab w:val="right" w:leader="dot" w:pos="8310"/>
            </w:tabs>
          </w:pPr>
          <w:r>
            <w:fldChar w:fldCharType="begin"/>
          </w:r>
          <w:r>
            <w:instrText xml:space="preserve"> HYPERLINK \l _Toc1894270337 </w:instrText>
          </w:r>
          <w:r>
            <w:fldChar w:fldCharType="separate"/>
          </w:r>
          <w:r>
            <w:rPr>
              <w:rFonts w:hint="eastAsia" w:ascii="黑体" w:hAnsi="黑体" w:cs="Calibri"/>
              <w:szCs w:val="32"/>
              <w:highlight w:val="none"/>
            </w:rPr>
            <w:t>2. 项目概况与招标范围</w:t>
          </w:r>
          <w:r>
            <w:tab/>
          </w:r>
          <w:r>
            <w:fldChar w:fldCharType="begin"/>
          </w:r>
          <w:r>
            <w:instrText xml:space="preserve"> PAGEREF _Toc1894270337 </w:instrText>
          </w:r>
          <w:r>
            <w:fldChar w:fldCharType="separate"/>
          </w:r>
          <w:r>
            <w:t>4</w:t>
          </w:r>
          <w:r>
            <w:fldChar w:fldCharType="end"/>
          </w:r>
          <w:r>
            <w:fldChar w:fldCharType="end"/>
          </w:r>
        </w:p>
        <w:p>
          <w:pPr>
            <w:pStyle w:val="26"/>
            <w:tabs>
              <w:tab w:val="right" w:leader="dot" w:pos="8310"/>
            </w:tabs>
          </w:pPr>
          <w:r>
            <w:fldChar w:fldCharType="begin"/>
          </w:r>
          <w:r>
            <w:instrText xml:space="preserve"> HYPERLINK \l _Toc190609565 </w:instrText>
          </w:r>
          <w:r>
            <w:fldChar w:fldCharType="separate"/>
          </w:r>
          <w:r>
            <w:rPr>
              <w:rFonts w:hint="eastAsia" w:ascii="黑体" w:hAnsi="黑体" w:cs="Calibri"/>
              <w:szCs w:val="32"/>
              <w:highlight w:val="none"/>
            </w:rPr>
            <w:t>3. 投标人资格要求</w:t>
          </w:r>
          <w:r>
            <w:tab/>
          </w:r>
          <w:r>
            <w:fldChar w:fldCharType="begin"/>
          </w:r>
          <w:r>
            <w:instrText xml:space="preserve"> PAGEREF _Toc190609565 </w:instrText>
          </w:r>
          <w:r>
            <w:fldChar w:fldCharType="separate"/>
          </w:r>
          <w:r>
            <w:t>4</w:t>
          </w:r>
          <w:r>
            <w:fldChar w:fldCharType="end"/>
          </w:r>
          <w:r>
            <w:fldChar w:fldCharType="end"/>
          </w:r>
        </w:p>
        <w:p>
          <w:pPr>
            <w:pStyle w:val="26"/>
            <w:tabs>
              <w:tab w:val="right" w:leader="dot" w:pos="8310"/>
            </w:tabs>
          </w:pPr>
          <w:r>
            <w:fldChar w:fldCharType="begin"/>
          </w:r>
          <w:r>
            <w:instrText xml:space="preserve"> HYPERLINK \l _Toc1627504593 </w:instrText>
          </w:r>
          <w:r>
            <w:fldChar w:fldCharType="separate"/>
          </w:r>
          <w:r>
            <w:rPr>
              <w:rFonts w:hint="eastAsia" w:ascii="黑体" w:hAnsi="黑体" w:cs="Calibri"/>
              <w:szCs w:val="32"/>
              <w:highlight w:val="none"/>
            </w:rPr>
            <w:t>4. 招标文件的获取</w:t>
          </w:r>
          <w:r>
            <w:tab/>
          </w:r>
          <w:r>
            <w:fldChar w:fldCharType="begin"/>
          </w:r>
          <w:r>
            <w:instrText xml:space="preserve"> PAGEREF _Toc1627504593 </w:instrText>
          </w:r>
          <w:r>
            <w:fldChar w:fldCharType="separate"/>
          </w:r>
          <w:r>
            <w:t>4</w:t>
          </w:r>
          <w:r>
            <w:fldChar w:fldCharType="end"/>
          </w:r>
          <w:r>
            <w:fldChar w:fldCharType="end"/>
          </w:r>
        </w:p>
        <w:p>
          <w:pPr>
            <w:pStyle w:val="26"/>
            <w:tabs>
              <w:tab w:val="right" w:leader="dot" w:pos="8310"/>
            </w:tabs>
          </w:pPr>
          <w:r>
            <w:fldChar w:fldCharType="begin"/>
          </w:r>
          <w:r>
            <w:instrText xml:space="preserve"> HYPERLINK \l _Toc540040374 </w:instrText>
          </w:r>
          <w:r>
            <w:fldChar w:fldCharType="separate"/>
          </w:r>
          <w:r>
            <w:rPr>
              <w:rFonts w:hint="eastAsia" w:ascii="黑体" w:hAnsi="黑体" w:cs="Calibri"/>
              <w:szCs w:val="32"/>
              <w:highlight w:val="none"/>
            </w:rPr>
            <w:t>5. 投标文件的递交</w:t>
          </w:r>
          <w:r>
            <w:tab/>
          </w:r>
          <w:r>
            <w:fldChar w:fldCharType="begin"/>
          </w:r>
          <w:r>
            <w:instrText xml:space="preserve"> PAGEREF _Toc540040374 </w:instrText>
          </w:r>
          <w:r>
            <w:fldChar w:fldCharType="separate"/>
          </w:r>
          <w:r>
            <w:t>4</w:t>
          </w:r>
          <w:r>
            <w:fldChar w:fldCharType="end"/>
          </w:r>
          <w:r>
            <w:fldChar w:fldCharType="end"/>
          </w:r>
        </w:p>
        <w:p>
          <w:pPr>
            <w:pStyle w:val="26"/>
            <w:tabs>
              <w:tab w:val="right" w:leader="dot" w:pos="8310"/>
            </w:tabs>
          </w:pPr>
          <w:r>
            <w:fldChar w:fldCharType="begin"/>
          </w:r>
          <w:r>
            <w:instrText xml:space="preserve"> HYPERLINK \l _Toc336074188 </w:instrText>
          </w:r>
          <w:r>
            <w:fldChar w:fldCharType="separate"/>
          </w:r>
          <w:r>
            <w:rPr>
              <w:rFonts w:hint="eastAsia" w:ascii="黑体" w:hAnsi="黑体" w:cs="Calibri"/>
              <w:szCs w:val="32"/>
              <w:highlight w:val="none"/>
            </w:rPr>
            <w:t>6.开标时间及地点</w:t>
          </w:r>
          <w:r>
            <w:tab/>
          </w:r>
          <w:r>
            <w:fldChar w:fldCharType="begin"/>
          </w:r>
          <w:r>
            <w:instrText xml:space="preserve"> PAGEREF _Toc336074188 </w:instrText>
          </w:r>
          <w:r>
            <w:fldChar w:fldCharType="separate"/>
          </w:r>
          <w:r>
            <w:t>5</w:t>
          </w:r>
          <w:r>
            <w:fldChar w:fldCharType="end"/>
          </w:r>
          <w:r>
            <w:fldChar w:fldCharType="end"/>
          </w:r>
        </w:p>
        <w:p>
          <w:pPr>
            <w:pStyle w:val="26"/>
            <w:tabs>
              <w:tab w:val="right" w:leader="dot" w:pos="8310"/>
            </w:tabs>
          </w:pPr>
          <w:r>
            <w:fldChar w:fldCharType="begin"/>
          </w:r>
          <w:r>
            <w:instrText xml:space="preserve"> HYPERLINK \l _Toc1277358483 </w:instrText>
          </w:r>
          <w:r>
            <w:fldChar w:fldCharType="separate"/>
          </w:r>
          <w:r>
            <w:rPr>
              <w:rFonts w:hint="eastAsia" w:ascii="黑体" w:hAnsi="黑体" w:cs="Calibri"/>
              <w:szCs w:val="32"/>
              <w:highlight w:val="none"/>
            </w:rPr>
            <w:t>7. 确认</w:t>
          </w:r>
          <w:r>
            <w:tab/>
          </w:r>
          <w:r>
            <w:fldChar w:fldCharType="begin"/>
          </w:r>
          <w:r>
            <w:instrText xml:space="preserve"> PAGEREF _Toc1277358483 </w:instrText>
          </w:r>
          <w:r>
            <w:fldChar w:fldCharType="separate"/>
          </w:r>
          <w:r>
            <w:t>5</w:t>
          </w:r>
          <w:r>
            <w:fldChar w:fldCharType="end"/>
          </w:r>
          <w:r>
            <w:fldChar w:fldCharType="end"/>
          </w:r>
        </w:p>
        <w:p>
          <w:pPr>
            <w:pStyle w:val="26"/>
            <w:tabs>
              <w:tab w:val="right" w:leader="dot" w:pos="8310"/>
            </w:tabs>
          </w:pPr>
          <w:r>
            <w:fldChar w:fldCharType="begin"/>
          </w:r>
          <w:r>
            <w:instrText xml:space="preserve"> HYPERLINK \l _Toc1406975223 </w:instrText>
          </w:r>
          <w:r>
            <w:fldChar w:fldCharType="separate"/>
          </w:r>
          <w:r>
            <w:rPr>
              <w:rFonts w:hint="default" w:ascii="Calibri" w:hAnsi="Calibri" w:eastAsia="宋体" w:cs="Times New Roman"/>
              <w:szCs w:val="22"/>
              <w:highlight w:val="none"/>
            </w:rPr>
            <w:t>8. 注意事项</w:t>
          </w:r>
          <w:r>
            <w:tab/>
          </w:r>
          <w:r>
            <w:fldChar w:fldCharType="begin"/>
          </w:r>
          <w:r>
            <w:instrText xml:space="preserve"> PAGEREF _Toc1406975223 </w:instrText>
          </w:r>
          <w:r>
            <w:fldChar w:fldCharType="separate"/>
          </w:r>
          <w:r>
            <w:t>5</w:t>
          </w:r>
          <w:r>
            <w:fldChar w:fldCharType="end"/>
          </w:r>
          <w:r>
            <w:fldChar w:fldCharType="end"/>
          </w:r>
        </w:p>
        <w:p>
          <w:pPr>
            <w:pStyle w:val="26"/>
            <w:tabs>
              <w:tab w:val="right" w:leader="dot" w:pos="8310"/>
            </w:tabs>
          </w:pPr>
          <w:r>
            <w:fldChar w:fldCharType="begin"/>
          </w:r>
          <w:r>
            <w:instrText xml:space="preserve"> HYPERLINK \l _Toc113682025 </w:instrText>
          </w:r>
          <w:r>
            <w:fldChar w:fldCharType="separate"/>
          </w:r>
          <w:r>
            <w:rPr>
              <w:rFonts w:hint="default" w:ascii="Calibri" w:hAnsi="Calibri" w:eastAsia="宋体" w:cs="Times New Roman"/>
              <w:szCs w:val="22"/>
              <w:highlight w:val="none"/>
            </w:rPr>
            <w:t>9. 联系方式</w:t>
          </w:r>
          <w:r>
            <w:tab/>
          </w:r>
          <w:r>
            <w:fldChar w:fldCharType="begin"/>
          </w:r>
          <w:r>
            <w:instrText xml:space="preserve"> PAGEREF _Toc113682025 </w:instrText>
          </w:r>
          <w:r>
            <w:fldChar w:fldCharType="separate"/>
          </w:r>
          <w:r>
            <w:t>5</w:t>
          </w:r>
          <w:r>
            <w:fldChar w:fldCharType="end"/>
          </w:r>
          <w:r>
            <w:fldChar w:fldCharType="end"/>
          </w:r>
        </w:p>
        <w:p>
          <w:pPr>
            <w:pStyle w:val="26"/>
            <w:tabs>
              <w:tab w:val="right" w:leader="dot" w:pos="8310"/>
            </w:tabs>
          </w:pPr>
          <w:r>
            <w:fldChar w:fldCharType="begin"/>
          </w:r>
          <w:r>
            <w:instrText xml:space="preserve"> HYPERLINK \l _Toc683389761 </w:instrText>
          </w:r>
          <w:r>
            <w:fldChar w:fldCharType="separate"/>
          </w:r>
          <w:r>
            <w:rPr>
              <w:rFonts w:hint="default" w:ascii="Calibri" w:hAnsi="Calibri" w:eastAsia="宋体" w:cs="Times New Roman"/>
              <w:bCs w:val="0"/>
              <w:kern w:val="2"/>
              <w:szCs w:val="22"/>
              <w:highlight w:val="none"/>
              <w:lang w:val="en-US" w:eastAsia="zh-CN" w:bidi="ar-SA"/>
            </w:rPr>
            <w:t>10.受理</w:t>
          </w:r>
          <w:r>
            <w:rPr>
              <w:rFonts w:hint="default" w:ascii="Calibri" w:hAnsi="Calibri" w:eastAsia="宋体" w:cs="Times New Roman"/>
              <w:szCs w:val="22"/>
              <w:highlight w:val="none"/>
              <w:lang w:val="en-US" w:eastAsia="zh-CN"/>
            </w:rPr>
            <w:t>异议的监督部门和联系方式</w:t>
          </w:r>
          <w:r>
            <w:tab/>
          </w:r>
          <w:r>
            <w:fldChar w:fldCharType="begin"/>
          </w:r>
          <w:r>
            <w:instrText xml:space="preserve"> PAGEREF _Toc683389761 </w:instrText>
          </w:r>
          <w:r>
            <w:fldChar w:fldCharType="separate"/>
          </w:r>
          <w:r>
            <w:t>6</w:t>
          </w:r>
          <w:r>
            <w:fldChar w:fldCharType="end"/>
          </w:r>
          <w:r>
            <w:fldChar w:fldCharType="end"/>
          </w:r>
        </w:p>
        <w:p>
          <w:pPr>
            <w:pStyle w:val="26"/>
          </w:pPr>
          <w:r>
            <w:rPr>
              <w:rFonts w:eastAsia="宋体"/>
            </w:rPr>
            <w:fldChar w:fldCharType="begin"/>
          </w:r>
          <w:r>
            <w:rPr>
              <w:rFonts w:eastAsia="宋体"/>
            </w:rPr>
            <w:instrText xml:space="preserve"> HYPERLINK \l _Toc2092592142 </w:instrText>
          </w:r>
          <w:r>
            <w:rPr>
              <w:rFonts w:eastAsia="宋体"/>
            </w:rPr>
            <w:fldChar w:fldCharType="separate"/>
          </w:r>
          <w:r>
            <w:rPr>
              <w:rFonts w:hint="default" w:ascii="Calibri" w:hAnsi="Calibri" w:eastAsia="宋体" w:cs="Times New Roman"/>
              <w:bCs w:val="0"/>
              <w:szCs w:val="22"/>
              <w:highlight w:val="none"/>
            </w:rPr>
            <w:t>附件：</w:t>
          </w:r>
          <w:r>
            <w:rPr>
              <w:rFonts w:eastAsia="宋体"/>
            </w:rPr>
            <w:tab/>
          </w:r>
          <w:r>
            <w:rPr>
              <w:rFonts w:eastAsia="宋体"/>
            </w:rPr>
            <w:fldChar w:fldCharType="begin"/>
          </w:r>
          <w:r>
            <w:rPr>
              <w:rFonts w:eastAsia="宋体"/>
            </w:rPr>
            <w:instrText xml:space="preserve"> PAGEREF _Toc2092592142 </w:instrText>
          </w:r>
          <w:r>
            <w:rPr>
              <w:rFonts w:eastAsia="宋体"/>
            </w:rPr>
            <w:fldChar w:fldCharType="separate"/>
          </w:r>
          <w:r>
            <w:rPr>
              <w:rFonts w:eastAsia="宋体"/>
            </w:rPr>
            <w:t>7</w:t>
          </w:r>
          <w:r>
            <w:rPr>
              <w:rFonts w:eastAsia="宋体"/>
            </w:rPr>
            <w:fldChar w:fldCharType="end"/>
          </w:r>
          <w:r>
            <w:rPr>
              <w:rFonts w:eastAsia="宋体"/>
            </w:rPr>
            <w:fldChar w:fldCharType="end"/>
          </w:r>
        </w:p>
        <w:p>
          <w:pPr>
            <w:pStyle w:val="22"/>
            <w:tabs>
              <w:tab w:val="right" w:leader="dot" w:pos="8310"/>
            </w:tabs>
          </w:pPr>
          <w:r>
            <w:fldChar w:fldCharType="begin"/>
          </w:r>
          <w:r>
            <w:instrText xml:space="preserve"> HYPERLINK \l _Toc415467540 </w:instrText>
          </w:r>
          <w:r>
            <w:fldChar w:fldCharType="separate"/>
          </w:r>
          <w:r>
            <w:rPr>
              <w:highlight w:val="none"/>
            </w:rPr>
            <w:t>第二章投标人须知</w:t>
          </w:r>
          <w:r>
            <w:tab/>
          </w:r>
          <w:r>
            <w:fldChar w:fldCharType="begin"/>
          </w:r>
          <w:r>
            <w:instrText xml:space="preserve"> PAGEREF _Toc415467540 </w:instrText>
          </w:r>
          <w:r>
            <w:fldChar w:fldCharType="separate"/>
          </w:r>
          <w:r>
            <w:t>8</w:t>
          </w:r>
          <w:r>
            <w:fldChar w:fldCharType="end"/>
          </w:r>
          <w:r>
            <w:fldChar w:fldCharType="end"/>
          </w:r>
        </w:p>
        <w:p>
          <w:pPr>
            <w:pStyle w:val="26"/>
            <w:tabs>
              <w:tab w:val="right" w:leader="dot" w:pos="8310"/>
            </w:tabs>
          </w:pPr>
          <w:r>
            <w:fldChar w:fldCharType="begin"/>
          </w:r>
          <w:r>
            <w:instrText xml:space="preserve"> HYPERLINK \l _Toc562919714 </w:instrText>
          </w:r>
          <w:r>
            <w:fldChar w:fldCharType="separate"/>
          </w:r>
          <w:r>
            <w:rPr>
              <w:rFonts w:ascii="Times New Roman" w:hAnsi="Times New Roman"/>
              <w:highlight w:val="none"/>
            </w:rPr>
            <w:t>投标人须知前附表</w:t>
          </w:r>
          <w:r>
            <w:tab/>
          </w:r>
          <w:r>
            <w:fldChar w:fldCharType="begin"/>
          </w:r>
          <w:r>
            <w:instrText xml:space="preserve"> PAGEREF _Toc562919714 </w:instrText>
          </w:r>
          <w:r>
            <w:fldChar w:fldCharType="separate"/>
          </w:r>
          <w:r>
            <w:t>8</w:t>
          </w:r>
          <w:r>
            <w:fldChar w:fldCharType="end"/>
          </w:r>
          <w:r>
            <w:fldChar w:fldCharType="end"/>
          </w:r>
        </w:p>
        <w:p>
          <w:pPr>
            <w:pStyle w:val="26"/>
            <w:tabs>
              <w:tab w:val="right" w:leader="dot" w:pos="8310"/>
            </w:tabs>
          </w:pPr>
          <w:r>
            <w:fldChar w:fldCharType="begin"/>
          </w:r>
          <w:r>
            <w:instrText xml:space="preserve"> HYPERLINK \l _Toc1543113962 </w:instrText>
          </w:r>
          <w:r>
            <w:fldChar w:fldCharType="separate"/>
          </w:r>
          <w:r>
            <w:rPr>
              <w:rFonts w:ascii="Times New Roman" w:hAnsi="Times New Roman"/>
              <w:highlight w:val="none"/>
            </w:rPr>
            <w:t>1. 总则</w:t>
          </w:r>
          <w:r>
            <w:tab/>
          </w:r>
          <w:r>
            <w:fldChar w:fldCharType="begin"/>
          </w:r>
          <w:r>
            <w:instrText xml:space="preserve"> PAGEREF _Toc1543113962 </w:instrText>
          </w:r>
          <w:r>
            <w:fldChar w:fldCharType="separate"/>
          </w:r>
          <w:r>
            <w:t>16</w:t>
          </w:r>
          <w:r>
            <w:fldChar w:fldCharType="end"/>
          </w:r>
          <w:r>
            <w:fldChar w:fldCharType="end"/>
          </w:r>
        </w:p>
        <w:p>
          <w:pPr>
            <w:pStyle w:val="26"/>
            <w:tabs>
              <w:tab w:val="right" w:leader="dot" w:pos="8310"/>
            </w:tabs>
            <w:ind w:left="0" w:leftChars="0" w:firstLine="420" w:firstLineChars="200"/>
          </w:pPr>
          <w:r>
            <w:fldChar w:fldCharType="begin"/>
          </w:r>
          <w:r>
            <w:instrText xml:space="preserve"> HYPERLINK \l _Toc1860939927 </w:instrText>
          </w:r>
          <w:r>
            <w:fldChar w:fldCharType="separate"/>
          </w:r>
          <w:r>
            <w:rPr>
              <w:rFonts w:ascii="Times New Roman" w:hAnsi="Times New Roman"/>
              <w:highlight w:val="none"/>
            </w:rPr>
            <w:t>2. 招标文件</w:t>
          </w:r>
          <w:r>
            <w:tab/>
          </w:r>
          <w:r>
            <w:fldChar w:fldCharType="begin"/>
          </w:r>
          <w:r>
            <w:instrText xml:space="preserve"> PAGEREF _Toc1860939927 </w:instrText>
          </w:r>
          <w:r>
            <w:fldChar w:fldCharType="separate"/>
          </w:r>
          <w:r>
            <w:t>19</w:t>
          </w:r>
          <w:r>
            <w:fldChar w:fldCharType="end"/>
          </w:r>
          <w:r>
            <w:fldChar w:fldCharType="end"/>
          </w:r>
        </w:p>
        <w:p>
          <w:pPr>
            <w:pStyle w:val="26"/>
            <w:tabs>
              <w:tab w:val="right" w:leader="dot" w:pos="8310"/>
            </w:tabs>
            <w:ind w:left="0" w:leftChars="0" w:firstLine="420" w:firstLineChars="200"/>
          </w:pPr>
          <w:r>
            <w:fldChar w:fldCharType="begin"/>
          </w:r>
          <w:r>
            <w:instrText xml:space="preserve"> HYPERLINK \l _Toc1817482 </w:instrText>
          </w:r>
          <w:r>
            <w:fldChar w:fldCharType="separate"/>
          </w:r>
          <w:r>
            <w:rPr>
              <w:rFonts w:ascii="Times New Roman" w:hAnsi="Times New Roman"/>
              <w:highlight w:val="none"/>
            </w:rPr>
            <w:t>3. 投标文件</w:t>
          </w:r>
          <w:r>
            <w:tab/>
          </w:r>
          <w:r>
            <w:fldChar w:fldCharType="begin"/>
          </w:r>
          <w:r>
            <w:instrText xml:space="preserve"> PAGEREF _Toc1817482 </w:instrText>
          </w:r>
          <w:r>
            <w:fldChar w:fldCharType="separate"/>
          </w:r>
          <w:r>
            <w:t>20</w:t>
          </w:r>
          <w:r>
            <w:fldChar w:fldCharType="end"/>
          </w:r>
          <w:r>
            <w:fldChar w:fldCharType="end"/>
          </w:r>
        </w:p>
        <w:p>
          <w:pPr>
            <w:pStyle w:val="26"/>
            <w:tabs>
              <w:tab w:val="right" w:leader="dot" w:pos="8310"/>
            </w:tabs>
            <w:ind w:left="0" w:leftChars="0" w:firstLine="420" w:firstLineChars="200"/>
          </w:pPr>
          <w:r>
            <w:fldChar w:fldCharType="begin"/>
          </w:r>
          <w:r>
            <w:instrText xml:space="preserve"> HYPERLINK \l _Toc642183261 </w:instrText>
          </w:r>
          <w:r>
            <w:fldChar w:fldCharType="separate"/>
          </w:r>
          <w:r>
            <w:rPr>
              <w:rFonts w:ascii="Times New Roman" w:hAnsi="Times New Roman"/>
              <w:highlight w:val="none"/>
            </w:rPr>
            <w:t>4. 投标</w:t>
          </w:r>
          <w:r>
            <w:tab/>
          </w:r>
          <w:r>
            <w:fldChar w:fldCharType="begin"/>
          </w:r>
          <w:r>
            <w:instrText xml:space="preserve"> PAGEREF _Toc642183261 </w:instrText>
          </w:r>
          <w:r>
            <w:fldChar w:fldCharType="separate"/>
          </w:r>
          <w:r>
            <w:t>24</w:t>
          </w:r>
          <w:r>
            <w:fldChar w:fldCharType="end"/>
          </w:r>
          <w:r>
            <w:fldChar w:fldCharType="end"/>
          </w:r>
        </w:p>
        <w:p>
          <w:pPr>
            <w:pStyle w:val="26"/>
            <w:tabs>
              <w:tab w:val="right" w:leader="dot" w:pos="8310"/>
            </w:tabs>
            <w:ind w:left="0" w:leftChars="0" w:firstLine="420" w:firstLineChars="200"/>
          </w:pPr>
          <w:r>
            <w:fldChar w:fldCharType="begin"/>
          </w:r>
          <w:r>
            <w:instrText xml:space="preserve"> HYPERLINK \l _Toc273685535 </w:instrText>
          </w:r>
          <w:r>
            <w:fldChar w:fldCharType="separate"/>
          </w:r>
          <w:r>
            <w:rPr>
              <w:rFonts w:ascii="Times New Roman" w:hAnsi="Times New Roman"/>
              <w:highlight w:val="none"/>
            </w:rPr>
            <w:t>5. 开标</w:t>
          </w:r>
          <w:r>
            <w:tab/>
          </w:r>
          <w:r>
            <w:fldChar w:fldCharType="begin"/>
          </w:r>
          <w:r>
            <w:instrText xml:space="preserve"> PAGEREF _Toc273685535 </w:instrText>
          </w:r>
          <w:r>
            <w:fldChar w:fldCharType="separate"/>
          </w:r>
          <w:r>
            <w:t>25</w:t>
          </w:r>
          <w:r>
            <w:fldChar w:fldCharType="end"/>
          </w:r>
          <w:r>
            <w:fldChar w:fldCharType="end"/>
          </w:r>
        </w:p>
        <w:p>
          <w:pPr>
            <w:pStyle w:val="26"/>
            <w:tabs>
              <w:tab w:val="right" w:leader="dot" w:pos="8310"/>
            </w:tabs>
            <w:ind w:left="0" w:leftChars="0" w:firstLine="420" w:firstLineChars="200"/>
          </w:pPr>
          <w:r>
            <w:fldChar w:fldCharType="begin"/>
          </w:r>
          <w:r>
            <w:instrText xml:space="preserve"> HYPERLINK \l _Toc80062898 </w:instrText>
          </w:r>
          <w:r>
            <w:fldChar w:fldCharType="separate"/>
          </w:r>
          <w:r>
            <w:rPr>
              <w:rFonts w:ascii="Times New Roman" w:hAnsi="Times New Roman"/>
              <w:highlight w:val="none"/>
            </w:rPr>
            <w:t>6. 评标</w:t>
          </w:r>
          <w:r>
            <w:tab/>
          </w:r>
          <w:r>
            <w:fldChar w:fldCharType="begin"/>
          </w:r>
          <w:r>
            <w:instrText xml:space="preserve"> PAGEREF _Toc80062898 </w:instrText>
          </w:r>
          <w:r>
            <w:fldChar w:fldCharType="separate"/>
          </w:r>
          <w:r>
            <w:t>26</w:t>
          </w:r>
          <w:r>
            <w:fldChar w:fldCharType="end"/>
          </w:r>
          <w:r>
            <w:fldChar w:fldCharType="end"/>
          </w:r>
        </w:p>
        <w:p>
          <w:pPr>
            <w:pStyle w:val="26"/>
            <w:tabs>
              <w:tab w:val="right" w:leader="dot" w:pos="8310"/>
            </w:tabs>
            <w:ind w:left="0" w:leftChars="0" w:firstLine="420" w:firstLineChars="200"/>
          </w:pPr>
          <w:r>
            <w:fldChar w:fldCharType="begin"/>
          </w:r>
          <w:r>
            <w:instrText xml:space="preserve"> HYPERLINK \l _Toc871139958 </w:instrText>
          </w:r>
          <w:r>
            <w:fldChar w:fldCharType="separate"/>
          </w:r>
          <w:r>
            <w:rPr>
              <w:rFonts w:ascii="Times New Roman" w:hAnsi="Times New Roman"/>
              <w:highlight w:val="none"/>
            </w:rPr>
            <w:t>7. 合同授予</w:t>
          </w:r>
          <w:r>
            <w:tab/>
          </w:r>
          <w:r>
            <w:fldChar w:fldCharType="begin"/>
          </w:r>
          <w:r>
            <w:instrText xml:space="preserve"> PAGEREF _Toc871139958 </w:instrText>
          </w:r>
          <w:r>
            <w:fldChar w:fldCharType="separate"/>
          </w:r>
          <w:r>
            <w:t>26</w:t>
          </w:r>
          <w:r>
            <w:fldChar w:fldCharType="end"/>
          </w:r>
          <w:r>
            <w:fldChar w:fldCharType="end"/>
          </w:r>
        </w:p>
        <w:p>
          <w:pPr>
            <w:pStyle w:val="26"/>
            <w:tabs>
              <w:tab w:val="right" w:leader="dot" w:pos="8310"/>
            </w:tabs>
            <w:ind w:left="0" w:leftChars="0" w:firstLine="420" w:firstLineChars="200"/>
          </w:pPr>
          <w:r>
            <w:fldChar w:fldCharType="begin"/>
          </w:r>
          <w:r>
            <w:instrText xml:space="preserve"> HYPERLINK \l _Toc958667665 </w:instrText>
          </w:r>
          <w:r>
            <w:fldChar w:fldCharType="separate"/>
          </w:r>
          <w:r>
            <w:rPr>
              <w:rFonts w:hint="eastAsia" w:ascii="黑体" w:hAnsi="黑体" w:eastAsia="黑体" w:cs="黑体"/>
              <w:kern w:val="0"/>
              <w:szCs w:val="32"/>
              <w:highlight w:val="none"/>
            </w:rPr>
            <w:t>8．重新招标和不再招标</w:t>
          </w:r>
          <w:r>
            <w:tab/>
          </w:r>
          <w:r>
            <w:fldChar w:fldCharType="begin"/>
          </w:r>
          <w:r>
            <w:instrText xml:space="preserve"> PAGEREF _Toc958667665 </w:instrText>
          </w:r>
          <w:r>
            <w:fldChar w:fldCharType="separate"/>
          </w:r>
          <w:r>
            <w:t>28</w:t>
          </w:r>
          <w:r>
            <w:fldChar w:fldCharType="end"/>
          </w:r>
          <w:r>
            <w:fldChar w:fldCharType="end"/>
          </w:r>
        </w:p>
        <w:p>
          <w:pPr>
            <w:pStyle w:val="26"/>
            <w:tabs>
              <w:tab w:val="right" w:leader="dot" w:pos="8310"/>
            </w:tabs>
            <w:ind w:left="0" w:leftChars="0" w:firstLine="420" w:firstLineChars="200"/>
          </w:pPr>
          <w:r>
            <w:fldChar w:fldCharType="begin"/>
          </w:r>
          <w:r>
            <w:instrText xml:space="preserve"> HYPERLINK \l _Toc1376147944 </w:instrText>
          </w:r>
          <w:r>
            <w:fldChar w:fldCharType="separate"/>
          </w:r>
          <w:r>
            <w:rPr>
              <w:rFonts w:hint="eastAsia" w:ascii="Times New Roman" w:hAnsi="Times New Roman"/>
              <w:highlight w:val="none"/>
            </w:rPr>
            <w:t>9</w:t>
          </w:r>
          <w:r>
            <w:rPr>
              <w:rFonts w:ascii="Times New Roman" w:hAnsi="Times New Roman"/>
              <w:highlight w:val="none"/>
            </w:rPr>
            <w:t>. 纪律和监督</w:t>
          </w:r>
          <w:r>
            <w:tab/>
          </w:r>
          <w:r>
            <w:fldChar w:fldCharType="begin"/>
          </w:r>
          <w:r>
            <w:instrText xml:space="preserve"> PAGEREF _Toc1376147944 </w:instrText>
          </w:r>
          <w:r>
            <w:fldChar w:fldCharType="separate"/>
          </w:r>
          <w:r>
            <w:t>28</w:t>
          </w:r>
          <w:r>
            <w:fldChar w:fldCharType="end"/>
          </w:r>
          <w:r>
            <w:fldChar w:fldCharType="end"/>
          </w:r>
        </w:p>
        <w:p>
          <w:pPr>
            <w:pStyle w:val="26"/>
            <w:tabs>
              <w:tab w:val="right" w:leader="dot" w:pos="8310"/>
            </w:tabs>
            <w:ind w:left="0" w:leftChars="0" w:firstLine="420" w:firstLineChars="200"/>
          </w:pPr>
          <w:r>
            <w:fldChar w:fldCharType="begin"/>
          </w:r>
          <w:r>
            <w:instrText xml:space="preserve"> HYPERLINK \l _Toc301025227 </w:instrText>
          </w:r>
          <w:r>
            <w:fldChar w:fldCharType="separate"/>
          </w:r>
          <w:r>
            <w:rPr>
              <w:rFonts w:ascii="Times New Roman" w:hAnsi="Times New Roman"/>
              <w:highlight w:val="none"/>
            </w:rPr>
            <w:t>10. 需要补充的其他内容</w:t>
          </w:r>
          <w:r>
            <w:tab/>
          </w:r>
          <w:r>
            <w:fldChar w:fldCharType="begin"/>
          </w:r>
          <w:r>
            <w:instrText xml:space="preserve"> PAGEREF _Toc301025227 </w:instrText>
          </w:r>
          <w:r>
            <w:fldChar w:fldCharType="separate"/>
          </w:r>
          <w:r>
            <w:t>29</w:t>
          </w:r>
          <w:r>
            <w:fldChar w:fldCharType="end"/>
          </w:r>
          <w:r>
            <w:fldChar w:fldCharType="end"/>
          </w:r>
        </w:p>
        <w:p>
          <w:pPr>
            <w:pStyle w:val="26"/>
            <w:tabs>
              <w:tab w:val="right" w:leader="dot" w:pos="8310"/>
            </w:tabs>
          </w:pPr>
          <w:r>
            <w:fldChar w:fldCharType="begin"/>
          </w:r>
          <w:r>
            <w:instrText xml:space="preserve"> HYPERLINK \l _Toc655287168 </w:instrText>
          </w:r>
          <w:r>
            <w:fldChar w:fldCharType="separate"/>
          </w:r>
          <w:r>
            <w:rPr>
              <w:rFonts w:hint="eastAsia" w:ascii="仿宋_GB2312" w:hAnsi="宋体" w:eastAsia="仿宋_GB2312"/>
              <w:bCs w:val="0"/>
              <w:szCs w:val="28"/>
              <w:highlight w:val="none"/>
            </w:rPr>
            <w:t>附件一：招标文件澄清申请函</w:t>
          </w:r>
          <w:r>
            <w:tab/>
          </w:r>
          <w:r>
            <w:fldChar w:fldCharType="begin"/>
          </w:r>
          <w:r>
            <w:instrText xml:space="preserve"> PAGEREF _Toc655287168 </w:instrText>
          </w:r>
          <w:r>
            <w:fldChar w:fldCharType="separate"/>
          </w:r>
          <w:r>
            <w:t>30</w:t>
          </w:r>
          <w:r>
            <w:fldChar w:fldCharType="end"/>
          </w:r>
          <w:r>
            <w:fldChar w:fldCharType="end"/>
          </w:r>
        </w:p>
        <w:p>
          <w:pPr>
            <w:pStyle w:val="26"/>
            <w:tabs>
              <w:tab w:val="right" w:leader="dot" w:pos="8310"/>
            </w:tabs>
          </w:pPr>
          <w:r>
            <w:fldChar w:fldCharType="begin"/>
          </w:r>
          <w:r>
            <w:instrText xml:space="preserve"> HYPERLINK \l _Toc34149515 </w:instrText>
          </w:r>
          <w:r>
            <w:fldChar w:fldCharType="separate"/>
          </w:r>
          <w:r>
            <w:rPr>
              <w:rFonts w:hint="eastAsia" w:ascii="仿宋_GB2312" w:hAnsi="宋体" w:eastAsia="仿宋_GB2312"/>
              <w:bCs w:val="0"/>
              <w:szCs w:val="28"/>
              <w:highlight w:val="none"/>
            </w:rPr>
            <w:t>附件二：招标文件澄清通知</w:t>
          </w:r>
          <w:r>
            <w:tab/>
          </w:r>
          <w:r>
            <w:fldChar w:fldCharType="begin"/>
          </w:r>
          <w:r>
            <w:instrText xml:space="preserve"> PAGEREF _Toc34149515 </w:instrText>
          </w:r>
          <w:r>
            <w:fldChar w:fldCharType="separate"/>
          </w:r>
          <w:r>
            <w:t>30</w:t>
          </w:r>
          <w:r>
            <w:fldChar w:fldCharType="end"/>
          </w:r>
          <w:r>
            <w:fldChar w:fldCharType="end"/>
          </w:r>
        </w:p>
        <w:p>
          <w:pPr>
            <w:pStyle w:val="26"/>
            <w:tabs>
              <w:tab w:val="right" w:leader="dot" w:pos="8310"/>
            </w:tabs>
          </w:pPr>
          <w:r>
            <w:fldChar w:fldCharType="begin"/>
          </w:r>
          <w:r>
            <w:instrText xml:space="preserve"> HYPERLINK \l _Toc11791048 </w:instrText>
          </w:r>
          <w:r>
            <w:fldChar w:fldCharType="separate"/>
          </w:r>
          <w:r>
            <w:rPr>
              <w:rFonts w:hint="eastAsia" w:ascii="仿宋_GB2312" w:hAnsi="宋体" w:eastAsia="仿宋_GB2312"/>
              <w:bCs w:val="0"/>
              <w:szCs w:val="28"/>
              <w:highlight w:val="none"/>
            </w:rPr>
            <w:t>附件三：招标文件修改通知</w:t>
          </w:r>
          <w:r>
            <w:tab/>
          </w:r>
          <w:r>
            <w:fldChar w:fldCharType="begin"/>
          </w:r>
          <w:r>
            <w:instrText xml:space="preserve"> PAGEREF _Toc11791048 </w:instrText>
          </w:r>
          <w:r>
            <w:fldChar w:fldCharType="separate"/>
          </w:r>
          <w:r>
            <w:t>31</w:t>
          </w:r>
          <w:r>
            <w:fldChar w:fldCharType="end"/>
          </w:r>
          <w:r>
            <w:fldChar w:fldCharType="end"/>
          </w:r>
        </w:p>
        <w:p>
          <w:pPr>
            <w:pStyle w:val="22"/>
            <w:tabs>
              <w:tab w:val="right" w:leader="dot" w:pos="8310"/>
            </w:tabs>
          </w:pPr>
          <w:r>
            <w:fldChar w:fldCharType="begin"/>
          </w:r>
          <w:r>
            <w:instrText xml:space="preserve"> HYPERLINK \l _Toc966064216 </w:instrText>
          </w:r>
          <w:r>
            <w:fldChar w:fldCharType="separate"/>
          </w:r>
          <w:r>
            <w:rPr>
              <w:highlight w:val="none"/>
            </w:rPr>
            <w:t>第三章评标办法（综合评估法）</w:t>
          </w:r>
          <w:r>
            <w:tab/>
          </w:r>
          <w:r>
            <w:fldChar w:fldCharType="begin"/>
          </w:r>
          <w:r>
            <w:instrText xml:space="preserve"> PAGEREF _Toc966064216 </w:instrText>
          </w:r>
          <w:r>
            <w:fldChar w:fldCharType="separate"/>
          </w:r>
          <w:r>
            <w:t>35</w:t>
          </w:r>
          <w:r>
            <w:fldChar w:fldCharType="end"/>
          </w:r>
          <w:r>
            <w:fldChar w:fldCharType="end"/>
          </w:r>
        </w:p>
        <w:p>
          <w:pPr>
            <w:pStyle w:val="26"/>
            <w:tabs>
              <w:tab w:val="right" w:leader="dot" w:pos="8310"/>
            </w:tabs>
          </w:pPr>
          <w:r>
            <w:fldChar w:fldCharType="begin"/>
          </w:r>
          <w:r>
            <w:instrText xml:space="preserve"> HYPERLINK \l _Toc982159687 </w:instrText>
          </w:r>
          <w:r>
            <w:fldChar w:fldCharType="separate"/>
          </w:r>
          <w:r>
            <w:rPr>
              <w:rFonts w:ascii="Times New Roman" w:hAnsi="Times New Roman"/>
              <w:highlight w:val="none"/>
            </w:rPr>
            <w:t>评标办法前附表</w:t>
          </w:r>
          <w:r>
            <w:tab/>
          </w:r>
          <w:r>
            <w:fldChar w:fldCharType="begin"/>
          </w:r>
          <w:r>
            <w:instrText xml:space="preserve"> PAGEREF _Toc982159687 </w:instrText>
          </w:r>
          <w:r>
            <w:fldChar w:fldCharType="separate"/>
          </w:r>
          <w:r>
            <w:t>35</w:t>
          </w:r>
          <w:r>
            <w:fldChar w:fldCharType="end"/>
          </w:r>
          <w:r>
            <w:fldChar w:fldCharType="end"/>
          </w:r>
        </w:p>
        <w:p>
          <w:pPr>
            <w:pStyle w:val="26"/>
            <w:tabs>
              <w:tab w:val="right" w:leader="dot" w:pos="8310"/>
            </w:tabs>
          </w:pPr>
          <w:r>
            <w:fldChar w:fldCharType="begin"/>
          </w:r>
          <w:r>
            <w:instrText xml:space="preserve"> HYPERLINK \l _Toc1383406631 </w:instrText>
          </w:r>
          <w:r>
            <w:fldChar w:fldCharType="separate"/>
          </w:r>
          <w:r>
            <w:rPr>
              <w:rFonts w:ascii="Times New Roman" w:hAnsi="Times New Roman"/>
              <w:highlight w:val="none"/>
            </w:rPr>
            <w:t>1. 评标方法</w:t>
          </w:r>
          <w:r>
            <w:tab/>
          </w:r>
          <w:r>
            <w:fldChar w:fldCharType="begin"/>
          </w:r>
          <w:r>
            <w:instrText xml:space="preserve"> PAGEREF _Toc1383406631 </w:instrText>
          </w:r>
          <w:r>
            <w:fldChar w:fldCharType="separate"/>
          </w:r>
          <w:r>
            <w:t>41</w:t>
          </w:r>
          <w:r>
            <w:fldChar w:fldCharType="end"/>
          </w:r>
          <w:r>
            <w:fldChar w:fldCharType="end"/>
          </w:r>
        </w:p>
        <w:p>
          <w:pPr>
            <w:pStyle w:val="26"/>
            <w:tabs>
              <w:tab w:val="right" w:leader="dot" w:pos="8310"/>
            </w:tabs>
          </w:pPr>
          <w:r>
            <w:fldChar w:fldCharType="begin"/>
          </w:r>
          <w:r>
            <w:instrText xml:space="preserve"> HYPERLINK \l _Toc1046127115 </w:instrText>
          </w:r>
          <w:r>
            <w:fldChar w:fldCharType="separate"/>
          </w:r>
          <w:r>
            <w:rPr>
              <w:rFonts w:ascii="Times New Roman" w:hAnsi="Times New Roman"/>
              <w:highlight w:val="none"/>
            </w:rPr>
            <w:t>2. 评审标准</w:t>
          </w:r>
          <w:r>
            <w:tab/>
          </w:r>
          <w:r>
            <w:fldChar w:fldCharType="begin"/>
          </w:r>
          <w:r>
            <w:instrText xml:space="preserve"> PAGEREF _Toc1046127115 </w:instrText>
          </w:r>
          <w:r>
            <w:fldChar w:fldCharType="separate"/>
          </w:r>
          <w:r>
            <w:t>41</w:t>
          </w:r>
          <w:r>
            <w:fldChar w:fldCharType="end"/>
          </w:r>
          <w:r>
            <w:fldChar w:fldCharType="end"/>
          </w:r>
        </w:p>
        <w:p>
          <w:pPr>
            <w:pStyle w:val="26"/>
            <w:tabs>
              <w:tab w:val="right" w:leader="dot" w:pos="8310"/>
            </w:tabs>
            <w:ind w:left="0" w:leftChars="0" w:firstLine="420" w:firstLineChars="200"/>
          </w:pPr>
          <w:r>
            <w:fldChar w:fldCharType="begin"/>
          </w:r>
          <w:r>
            <w:instrText xml:space="preserve"> HYPERLINK \l _Toc1962345465 </w:instrText>
          </w:r>
          <w:r>
            <w:fldChar w:fldCharType="separate"/>
          </w:r>
          <w:r>
            <w:rPr>
              <w:rFonts w:ascii="Times New Roman" w:hAnsi="Times New Roman"/>
              <w:highlight w:val="none"/>
            </w:rPr>
            <w:t>3. 评标程序</w:t>
          </w:r>
          <w:r>
            <w:tab/>
          </w:r>
          <w:r>
            <w:fldChar w:fldCharType="begin"/>
          </w:r>
          <w:r>
            <w:instrText xml:space="preserve"> PAGEREF _Toc1962345465 </w:instrText>
          </w:r>
          <w:r>
            <w:fldChar w:fldCharType="separate"/>
          </w:r>
          <w:r>
            <w:t>42</w:t>
          </w:r>
          <w:r>
            <w:fldChar w:fldCharType="end"/>
          </w:r>
          <w:r>
            <w:fldChar w:fldCharType="end"/>
          </w:r>
        </w:p>
        <w:p>
          <w:pPr>
            <w:pStyle w:val="26"/>
            <w:tabs>
              <w:tab w:val="right" w:leader="dot" w:pos="8310"/>
            </w:tabs>
            <w:ind w:left="0" w:leftChars="0" w:firstLine="420" w:firstLineChars="200"/>
          </w:pPr>
          <w:r>
            <w:fldChar w:fldCharType="begin"/>
          </w:r>
          <w:r>
            <w:instrText xml:space="preserve"> HYPERLINK \l _Toc444881788 </w:instrText>
          </w:r>
          <w:r>
            <w:fldChar w:fldCharType="separate"/>
          </w:r>
          <w:r>
            <w:rPr>
              <w:rFonts w:hint="eastAsia" w:ascii="仿宋_GB2312" w:hAnsi="黑体" w:eastAsia="仿宋_GB2312"/>
              <w:szCs w:val="28"/>
              <w:highlight w:val="none"/>
            </w:rPr>
            <w:t>附件一：暗标评审有关说明</w:t>
          </w:r>
          <w:r>
            <w:tab/>
          </w:r>
          <w:r>
            <w:fldChar w:fldCharType="begin"/>
          </w:r>
          <w:r>
            <w:instrText xml:space="preserve"> PAGEREF _Toc444881788 </w:instrText>
          </w:r>
          <w:r>
            <w:fldChar w:fldCharType="separate"/>
          </w:r>
          <w:r>
            <w:t>44</w:t>
          </w:r>
          <w:r>
            <w:fldChar w:fldCharType="end"/>
          </w:r>
          <w:r>
            <w:fldChar w:fldCharType="end"/>
          </w:r>
        </w:p>
        <w:p>
          <w:pPr>
            <w:pStyle w:val="26"/>
            <w:tabs>
              <w:tab w:val="right" w:leader="dot" w:pos="8310"/>
            </w:tabs>
          </w:pPr>
          <w:r>
            <w:fldChar w:fldCharType="begin"/>
          </w:r>
          <w:r>
            <w:instrText xml:space="preserve"> HYPERLINK \l _Toc1867654015 </w:instrText>
          </w:r>
          <w:r>
            <w:fldChar w:fldCharType="separate"/>
          </w:r>
          <w:r>
            <w:rPr>
              <w:rFonts w:hint="default" w:ascii="Times New Roman" w:hAnsi="Times New Roman" w:eastAsia="宋体"/>
              <w:szCs w:val="22"/>
              <w:highlight w:val="none"/>
            </w:rPr>
            <w:t>在评标委员会完成</w:t>
          </w:r>
          <w:r>
            <w:rPr>
              <w:rFonts w:hint="default" w:ascii="Times New Roman" w:hAnsi="Times New Roman" w:eastAsia="宋体"/>
              <w:szCs w:val="22"/>
              <w:highlight w:val="none"/>
              <w:lang w:val="en-US" w:eastAsia="zh-CN"/>
            </w:rPr>
            <w:t>全部</w:t>
          </w:r>
          <w:r>
            <w:rPr>
              <w:rFonts w:hint="default" w:ascii="Times New Roman" w:hAnsi="Times New Roman" w:eastAsia="宋体"/>
              <w:szCs w:val="22"/>
              <w:highlight w:val="none"/>
            </w:rPr>
            <w:t>技术标</w:t>
          </w:r>
          <w:r>
            <w:rPr>
              <w:rFonts w:hint="default" w:ascii="Times New Roman" w:hAnsi="Times New Roman" w:eastAsia="宋体"/>
              <w:szCs w:val="22"/>
              <w:highlight w:val="none"/>
              <w:lang w:val="en-US" w:eastAsia="zh-CN"/>
            </w:rPr>
            <w:t>详细</w:t>
          </w:r>
          <w:r>
            <w:rPr>
              <w:rFonts w:hint="default" w:ascii="Times New Roman" w:hAnsi="Times New Roman" w:eastAsia="宋体"/>
              <w:szCs w:val="22"/>
              <w:highlight w:val="none"/>
            </w:rPr>
            <w:t>评审</w:t>
          </w:r>
          <w:r>
            <w:rPr>
              <w:rFonts w:hint="default" w:ascii="Times New Roman" w:hAnsi="Times New Roman" w:eastAsia="宋体"/>
              <w:szCs w:val="22"/>
              <w:highlight w:val="none"/>
              <w:lang w:val="en-US" w:eastAsia="zh-CN"/>
            </w:rPr>
            <w:t>和商务标详细评审后，</w:t>
          </w:r>
          <w:r>
            <w:rPr>
              <w:rFonts w:hint="default" w:ascii="Times New Roman" w:hAnsi="Times New Roman" w:eastAsia="宋体"/>
              <w:szCs w:val="22"/>
              <w:highlight w:val="none"/>
            </w:rPr>
            <w:t>方可读取暗标编号记录。由系统自动生成技术暗标编号确认表</w:t>
          </w:r>
          <w:r>
            <w:rPr>
              <w:rFonts w:hint="default" w:ascii="Times New Roman" w:hAnsi="Times New Roman" w:eastAsia="宋体"/>
              <w:szCs w:val="22"/>
              <w:highlight w:val="none"/>
              <w:lang w:eastAsia="zh-CN"/>
            </w:rPr>
            <w:t>，</w:t>
          </w:r>
          <w:r>
            <w:rPr>
              <w:rFonts w:hint="default" w:ascii="Times New Roman" w:hAnsi="Times New Roman" w:eastAsia="宋体"/>
              <w:szCs w:val="22"/>
              <w:highlight w:val="none"/>
              <w:lang w:val="en-US" w:eastAsia="zh-CN"/>
            </w:rPr>
            <w:t>并</w:t>
          </w:r>
          <w:r>
            <w:rPr>
              <w:rFonts w:hint="default" w:ascii="Times New Roman" w:hAnsi="Times New Roman" w:eastAsia="宋体"/>
              <w:szCs w:val="22"/>
              <w:highlight w:val="none"/>
            </w:rPr>
            <w:t>根据投标人与暗标编号的对应关系，汇总投标人的评审结果。</w:t>
          </w:r>
          <w:r>
            <w:rPr>
              <w:rFonts w:hint="eastAsia" w:ascii="仿宋_GB2312" w:hAnsi="宋体" w:eastAsia="仿宋_GB2312"/>
              <w:szCs w:val="28"/>
              <w:highlight w:val="none"/>
            </w:rPr>
            <w:t>附件二： 询标函</w:t>
          </w:r>
          <w:r>
            <w:tab/>
          </w:r>
          <w:r>
            <w:fldChar w:fldCharType="begin"/>
          </w:r>
          <w:r>
            <w:instrText xml:space="preserve"> PAGEREF _Toc1867654015 </w:instrText>
          </w:r>
          <w:r>
            <w:fldChar w:fldCharType="separate"/>
          </w:r>
          <w:r>
            <w:t>44</w:t>
          </w:r>
          <w:r>
            <w:fldChar w:fldCharType="end"/>
          </w:r>
          <w:r>
            <w:fldChar w:fldCharType="end"/>
          </w:r>
        </w:p>
        <w:p>
          <w:pPr>
            <w:pStyle w:val="26"/>
            <w:tabs>
              <w:tab w:val="right" w:leader="dot" w:pos="8310"/>
            </w:tabs>
          </w:pPr>
          <w:r>
            <w:fldChar w:fldCharType="begin"/>
          </w:r>
          <w:r>
            <w:instrText xml:space="preserve"> HYPERLINK \l _Toc1687665545 </w:instrText>
          </w:r>
          <w:r>
            <w:fldChar w:fldCharType="separate"/>
          </w:r>
          <w:r>
            <w:rPr>
              <w:rFonts w:hint="eastAsia" w:ascii="仿宋_GB2312" w:hAnsi="宋体" w:eastAsia="仿宋_GB2312"/>
              <w:szCs w:val="28"/>
              <w:highlight w:val="none"/>
            </w:rPr>
            <w:t>附件三： 询标回复函</w:t>
          </w:r>
          <w:r>
            <w:tab/>
          </w:r>
          <w:r>
            <w:fldChar w:fldCharType="begin"/>
          </w:r>
          <w:r>
            <w:instrText xml:space="preserve"> PAGEREF _Toc1687665545 </w:instrText>
          </w:r>
          <w:r>
            <w:fldChar w:fldCharType="separate"/>
          </w:r>
          <w:r>
            <w:t>46</w:t>
          </w:r>
          <w:r>
            <w:fldChar w:fldCharType="end"/>
          </w:r>
          <w:r>
            <w:fldChar w:fldCharType="end"/>
          </w:r>
        </w:p>
        <w:p>
          <w:pPr>
            <w:pStyle w:val="22"/>
            <w:tabs>
              <w:tab w:val="right" w:leader="dot" w:pos="8310"/>
            </w:tabs>
          </w:pPr>
          <w:r>
            <w:fldChar w:fldCharType="begin"/>
          </w:r>
          <w:r>
            <w:instrText xml:space="preserve"> HYPERLINK \l _Toc1261585924 </w:instrText>
          </w:r>
          <w:r>
            <w:fldChar w:fldCharType="separate"/>
          </w:r>
          <w:r>
            <w:rPr>
              <w:highlight w:val="none"/>
            </w:rPr>
            <w:t>第三章评标办法（经评审的最低投标价法）</w:t>
          </w:r>
          <w:r>
            <w:tab/>
          </w:r>
          <w:r>
            <w:fldChar w:fldCharType="begin"/>
          </w:r>
          <w:r>
            <w:instrText xml:space="preserve"> PAGEREF _Toc1261585924 </w:instrText>
          </w:r>
          <w:r>
            <w:fldChar w:fldCharType="separate"/>
          </w:r>
          <w:r>
            <w:t>47</w:t>
          </w:r>
          <w:r>
            <w:fldChar w:fldCharType="end"/>
          </w:r>
          <w:r>
            <w:fldChar w:fldCharType="end"/>
          </w:r>
        </w:p>
        <w:p>
          <w:pPr>
            <w:pStyle w:val="26"/>
            <w:tabs>
              <w:tab w:val="right" w:leader="dot" w:pos="8310"/>
            </w:tabs>
          </w:pPr>
          <w:r>
            <w:fldChar w:fldCharType="begin"/>
          </w:r>
          <w:r>
            <w:instrText xml:space="preserve"> HYPERLINK \l _Toc678838032 </w:instrText>
          </w:r>
          <w:r>
            <w:fldChar w:fldCharType="separate"/>
          </w:r>
          <w:r>
            <w:rPr>
              <w:rFonts w:ascii="Times New Roman" w:hAnsi="Times New Roman"/>
              <w:highlight w:val="none"/>
            </w:rPr>
            <w:t>评标办法前附表</w:t>
          </w:r>
          <w:r>
            <w:tab/>
          </w:r>
          <w:r>
            <w:fldChar w:fldCharType="begin"/>
          </w:r>
          <w:r>
            <w:instrText xml:space="preserve"> PAGEREF _Toc678838032 </w:instrText>
          </w:r>
          <w:r>
            <w:fldChar w:fldCharType="separate"/>
          </w:r>
          <w:r>
            <w:t>47</w:t>
          </w:r>
          <w:r>
            <w:fldChar w:fldCharType="end"/>
          </w:r>
          <w:r>
            <w:fldChar w:fldCharType="end"/>
          </w:r>
        </w:p>
        <w:p>
          <w:pPr>
            <w:pStyle w:val="26"/>
            <w:tabs>
              <w:tab w:val="right" w:leader="dot" w:pos="8310"/>
            </w:tabs>
          </w:pPr>
          <w:r>
            <w:fldChar w:fldCharType="begin"/>
          </w:r>
          <w:r>
            <w:instrText xml:space="preserve"> HYPERLINK \l _Toc2012065269 </w:instrText>
          </w:r>
          <w:r>
            <w:fldChar w:fldCharType="separate"/>
          </w:r>
          <w:r>
            <w:rPr>
              <w:rFonts w:ascii="Times New Roman" w:hAnsi="Times New Roman"/>
              <w:highlight w:val="none"/>
            </w:rPr>
            <w:t>1. 评标方法</w:t>
          </w:r>
          <w:r>
            <w:tab/>
          </w:r>
          <w:r>
            <w:fldChar w:fldCharType="begin"/>
          </w:r>
          <w:r>
            <w:instrText xml:space="preserve"> PAGEREF _Toc2012065269 </w:instrText>
          </w:r>
          <w:r>
            <w:fldChar w:fldCharType="separate"/>
          </w:r>
          <w:r>
            <w:t>50</w:t>
          </w:r>
          <w:r>
            <w:fldChar w:fldCharType="end"/>
          </w:r>
          <w:r>
            <w:fldChar w:fldCharType="end"/>
          </w:r>
        </w:p>
        <w:p>
          <w:pPr>
            <w:pStyle w:val="26"/>
            <w:tabs>
              <w:tab w:val="right" w:leader="dot" w:pos="8310"/>
            </w:tabs>
          </w:pPr>
          <w:r>
            <w:fldChar w:fldCharType="begin"/>
          </w:r>
          <w:r>
            <w:instrText xml:space="preserve"> HYPERLINK \l _Toc2080107542 </w:instrText>
          </w:r>
          <w:r>
            <w:fldChar w:fldCharType="separate"/>
          </w:r>
          <w:r>
            <w:rPr>
              <w:rFonts w:ascii="Times New Roman" w:hAnsi="Times New Roman"/>
              <w:highlight w:val="none"/>
            </w:rPr>
            <w:t>2. 评审标准</w:t>
          </w:r>
          <w:r>
            <w:tab/>
          </w:r>
          <w:r>
            <w:fldChar w:fldCharType="begin"/>
          </w:r>
          <w:r>
            <w:instrText xml:space="preserve"> PAGEREF _Toc2080107542 </w:instrText>
          </w:r>
          <w:r>
            <w:fldChar w:fldCharType="separate"/>
          </w:r>
          <w:r>
            <w:t>50</w:t>
          </w:r>
          <w:r>
            <w:fldChar w:fldCharType="end"/>
          </w:r>
          <w:r>
            <w:fldChar w:fldCharType="end"/>
          </w:r>
        </w:p>
        <w:p>
          <w:pPr>
            <w:pStyle w:val="26"/>
            <w:tabs>
              <w:tab w:val="right" w:leader="dot" w:pos="8310"/>
            </w:tabs>
            <w:ind w:left="0" w:leftChars="0" w:firstLine="420" w:firstLineChars="200"/>
          </w:pPr>
          <w:r>
            <w:fldChar w:fldCharType="begin"/>
          </w:r>
          <w:r>
            <w:instrText xml:space="preserve"> HYPERLINK \l _Toc943572560 </w:instrText>
          </w:r>
          <w:r>
            <w:fldChar w:fldCharType="separate"/>
          </w:r>
          <w:r>
            <w:rPr>
              <w:rFonts w:ascii="Times New Roman" w:hAnsi="Times New Roman"/>
              <w:highlight w:val="none"/>
            </w:rPr>
            <w:t>3. 评标程序</w:t>
          </w:r>
          <w:r>
            <w:tab/>
          </w:r>
          <w:r>
            <w:fldChar w:fldCharType="begin"/>
          </w:r>
          <w:r>
            <w:instrText xml:space="preserve"> PAGEREF _Toc943572560 </w:instrText>
          </w:r>
          <w:r>
            <w:fldChar w:fldCharType="separate"/>
          </w:r>
          <w:r>
            <w:t>50</w:t>
          </w:r>
          <w:r>
            <w:fldChar w:fldCharType="end"/>
          </w:r>
          <w:r>
            <w:fldChar w:fldCharType="end"/>
          </w:r>
        </w:p>
        <w:p>
          <w:pPr>
            <w:pStyle w:val="26"/>
            <w:tabs>
              <w:tab w:val="right" w:leader="dot" w:pos="8310"/>
            </w:tabs>
            <w:ind w:left="0" w:leftChars="0" w:firstLine="420" w:firstLineChars="200"/>
          </w:pPr>
          <w:r>
            <w:fldChar w:fldCharType="begin"/>
          </w:r>
          <w:r>
            <w:instrText xml:space="preserve"> HYPERLINK \l _Toc1700023733 </w:instrText>
          </w:r>
          <w:r>
            <w:fldChar w:fldCharType="separate"/>
          </w:r>
          <w:r>
            <w:rPr>
              <w:rFonts w:hint="eastAsia" w:ascii="仿宋_GB2312" w:hAnsi="宋体" w:eastAsia="仿宋_GB2312"/>
              <w:szCs w:val="28"/>
              <w:highlight w:val="none"/>
            </w:rPr>
            <w:t>附件</w:t>
          </w:r>
          <w:r>
            <w:rPr>
              <w:rFonts w:hint="eastAsia" w:ascii="仿宋_GB2312" w:hAnsi="宋体" w:eastAsia="仿宋_GB2312"/>
              <w:szCs w:val="28"/>
              <w:highlight w:val="none"/>
              <w:lang w:val="en-US" w:eastAsia="zh-CN"/>
            </w:rPr>
            <w:t>一</w:t>
          </w:r>
          <w:r>
            <w:rPr>
              <w:rFonts w:hint="eastAsia" w:ascii="仿宋_GB2312" w:hAnsi="宋体" w:eastAsia="仿宋_GB2312"/>
              <w:szCs w:val="28"/>
              <w:highlight w:val="none"/>
            </w:rPr>
            <w:t>： 询标函</w:t>
          </w:r>
          <w:r>
            <w:tab/>
          </w:r>
          <w:r>
            <w:fldChar w:fldCharType="begin"/>
          </w:r>
          <w:r>
            <w:instrText xml:space="preserve"> PAGEREF _Toc1700023733 </w:instrText>
          </w:r>
          <w:r>
            <w:fldChar w:fldCharType="separate"/>
          </w:r>
          <w:r>
            <w:t>52</w:t>
          </w:r>
          <w:r>
            <w:fldChar w:fldCharType="end"/>
          </w:r>
          <w:r>
            <w:fldChar w:fldCharType="end"/>
          </w:r>
        </w:p>
        <w:p>
          <w:pPr>
            <w:pStyle w:val="26"/>
            <w:tabs>
              <w:tab w:val="right" w:leader="dot" w:pos="8310"/>
            </w:tabs>
          </w:pPr>
          <w:r>
            <w:fldChar w:fldCharType="begin"/>
          </w:r>
          <w:r>
            <w:instrText xml:space="preserve"> HYPERLINK \l _Toc369688329 </w:instrText>
          </w:r>
          <w:r>
            <w:fldChar w:fldCharType="separate"/>
          </w:r>
          <w:r>
            <w:rPr>
              <w:rFonts w:hint="eastAsia" w:ascii="仿宋_GB2312" w:hAnsi="宋体" w:eastAsia="仿宋_GB2312"/>
              <w:szCs w:val="28"/>
              <w:highlight w:val="none"/>
            </w:rPr>
            <w:t>附件</w:t>
          </w:r>
          <w:r>
            <w:rPr>
              <w:rFonts w:hint="eastAsia" w:ascii="仿宋_GB2312" w:hAnsi="宋体" w:eastAsia="仿宋_GB2312"/>
              <w:szCs w:val="28"/>
              <w:highlight w:val="none"/>
              <w:lang w:val="en-US" w:eastAsia="zh-CN"/>
            </w:rPr>
            <w:t>二</w:t>
          </w:r>
          <w:r>
            <w:rPr>
              <w:rFonts w:hint="eastAsia" w:ascii="仿宋_GB2312" w:hAnsi="宋体" w:eastAsia="仿宋_GB2312"/>
              <w:szCs w:val="28"/>
              <w:highlight w:val="none"/>
            </w:rPr>
            <w:t>： 询标回复函</w:t>
          </w:r>
          <w:r>
            <w:tab/>
          </w:r>
          <w:r>
            <w:fldChar w:fldCharType="begin"/>
          </w:r>
          <w:r>
            <w:instrText xml:space="preserve"> PAGEREF _Toc369688329 </w:instrText>
          </w:r>
          <w:r>
            <w:fldChar w:fldCharType="separate"/>
          </w:r>
          <w:r>
            <w:t>53</w:t>
          </w:r>
          <w:r>
            <w:fldChar w:fldCharType="end"/>
          </w:r>
          <w:r>
            <w:fldChar w:fldCharType="end"/>
          </w:r>
        </w:p>
        <w:p>
          <w:pPr>
            <w:pStyle w:val="22"/>
            <w:tabs>
              <w:tab w:val="right" w:leader="dot" w:pos="8310"/>
            </w:tabs>
          </w:pPr>
          <w:r>
            <w:fldChar w:fldCharType="begin"/>
          </w:r>
          <w:r>
            <w:instrText xml:space="preserve"> HYPERLINK \l _Toc1493967772 </w:instrText>
          </w:r>
          <w:r>
            <w:fldChar w:fldCharType="separate"/>
          </w:r>
          <w:r>
            <w:rPr>
              <w:highlight w:val="none"/>
            </w:rPr>
            <w:t>第四章合同条款及格式</w:t>
          </w:r>
          <w:r>
            <w:tab/>
          </w:r>
          <w:r>
            <w:fldChar w:fldCharType="begin"/>
          </w:r>
          <w:r>
            <w:instrText xml:space="preserve"> PAGEREF _Toc1493967772 </w:instrText>
          </w:r>
          <w:r>
            <w:fldChar w:fldCharType="separate"/>
          </w:r>
          <w:r>
            <w:t>54</w:t>
          </w:r>
          <w:r>
            <w:fldChar w:fldCharType="end"/>
          </w:r>
          <w:r>
            <w:fldChar w:fldCharType="end"/>
          </w:r>
        </w:p>
        <w:p>
          <w:pPr>
            <w:pStyle w:val="26"/>
            <w:tabs>
              <w:tab w:val="right" w:leader="dot" w:pos="8310"/>
            </w:tabs>
          </w:pPr>
          <w:r>
            <w:fldChar w:fldCharType="begin"/>
          </w:r>
          <w:r>
            <w:instrText xml:space="preserve"> HYPERLINK \l _Toc665400620 </w:instrText>
          </w:r>
          <w:r>
            <w:fldChar w:fldCharType="separate"/>
          </w:r>
          <w:r>
            <w:rPr>
              <w:rFonts w:ascii="Times New Roman" w:hAnsi="Times New Roman"/>
              <w:highlight w:val="none"/>
            </w:rPr>
            <w:t>第一节通用合同条款</w:t>
          </w:r>
          <w:r>
            <w:tab/>
          </w:r>
          <w:r>
            <w:fldChar w:fldCharType="begin"/>
          </w:r>
          <w:r>
            <w:instrText xml:space="preserve"> PAGEREF _Toc665400620 </w:instrText>
          </w:r>
          <w:r>
            <w:fldChar w:fldCharType="separate"/>
          </w:r>
          <w:r>
            <w:t>54</w:t>
          </w:r>
          <w:r>
            <w:fldChar w:fldCharType="end"/>
          </w:r>
          <w:r>
            <w:fldChar w:fldCharType="end"/>
          </w:r>
        </w:p>
        <w:p>
          <w:pPr>
            <w:pStyle w:val="26"/>
            <w:tabs>
              <w:tab w:val="right" w:leader="dot" w:pos="8310"/>
            </w:tabs>
          </w:pPr>
          <w:r>
            <w:fldChar w:fldCharType="begin"/>
          </w:r>
          <w:r>
            <w:instrText xml:space="preserve"> HYPERLINK \l _Toc1461488646 </w:instrText>
          </w:r>
          <w:r>
            <w:fldChar w:fldCharType="separate"/>
          </w:r>
          <w:r>
            <w:rPr>
              <w:rFonts w:ascii="Times New Roman" w:hAnsi="Times New Roman"/>
              <w:bCs/>
              <w:szCs w:val="32"/>
              <w:highlight w:val="none"/>
            </w:rPr>
            <w:t>1. 一般约定</w:t>
          </w:r>
          <w:r>
            <w:tab/>
          </w:r>
          <w:r>
            <w:fldChar w:fldCharType="begin"/>
          </w:r>
          <w:r>
            <w:instrText xml:space="preserve"> PAGEREF _Toc1461488646 </w:instrText>
          </w:r>
          <w:r>
            <w:fldChar w:fldCharType="separate"/>
          </w:r>
          <w:r>
            <w:t>54</w:t>
          </w:r>
          <w:r>
            <w:fldChar w:fldCharType="end"/>
          </w:r>
          <w:r>
            <w:fldChar w:fldCharType="end"/>
          </w:r>
        </w:p>
        <w:p>
          <w:pPr>
            <w:pStyle w:val="26"/>
            <w:tabs>
              <w:tab w:val="right" w:leader="dot" w:pos="8310"/>
            </w:tabs>
            <w:ind w:left="0" w:leftChars="0" w:firstLine="420" w:firstLineChars="200"/>
          </w:pPr>
          <w:r>
            <w:fldChar w:fldCharType="begin"/>
          </w:r>
          <w:r>
            <w:instrText xml:space="preserve"> HYPERLINK \l _Toc1080029374 </w:instrText>
          </w:r>
          <w:r>
            <w:fldChar w:fldCharType="separate"/>
          </w:r>
          <w:r>
            <w:rPr>
              <w:rFonts w:ascii="Times New Roman" w:hAnsi="Times New Roman"/>
              <w:bCs/>
              <w:szCs w:val="32"/>
              <w:highlight w:val="none"/>
            </w:rPr>
            <w:t>2. 合同范围</w:t>
          </w:r>
          <w:r>
            <w:tab/>
          </w:r>
          <w:r>
            <w:fldChar w:fldCharType="begin"/>
          </w:r>
          <w:r>
            <w:instrText xml:space="preserve"> PAGEREF _Toc1080029374 </w:instrText>
          </w:r>
          <w:r>
            <w:fldChar w:fldCharType="separate"/>
          </w:r>
          <w:r>
            <w:t>57</w:t>
          </w:r>
          <w:r>
            <w:fldChar w:fldCharType="end"/>
          </w:r>
          <w:r>
            <w:fldChar w:fldCharType="end"/>
          </w:r>
        </w:p>
        <w:p>
          <w:pPr>
            <w:pStyle w:val="26"/>
            <w:tabs>
              <w:tab w:val="right" w:leader="dot" w:pos="8310"/>
            </w:tabs>
          </w:pPr>
          <w:r>
            <w:fldChar w:fldCharType="begin"/>
          </w:r>
          <w:r>
            <w:instrText xml:space="preserve"> HYPERLINK \l _Toc255758074 </w:instrText>
          </w:r>
          <w:r>
            <w:fldChar w:fldCharType="separate"/>
          </w:r>
          <w:r>
            <w:rPr>
              <w:rFonts w:ascii="Times New Roman" w:hAnsi="Times New Roman"/>
              <w:bCs/>
              <w:szCs w:val="32"/>
              <w:highlight w:val="none"/>
            </w:rPr>
            <w:t>3. 合同价格与支付</w:t>
          </w:r>
          <w:r>
            <w:tab/>
          </w:r>
          <w:r>
            <w:fldChar w:fldCharType="begin"/>
          </w:r>
          <w:r>
            <w:instrText xml:space="preserve"> PAGEREF _Toc255758074 </w:instrText>
          </w:r>
          <w:r>
            <w:fldChar w:fldCharType="separate"/>
          </w:r>
          <w:r>
            <w:t>58</w:t>
          </w:r>
          <w:r>
            <w:fldChar w:fldCharType="end"/>
          </w:r>
          <w:r>
            <w:fldChar w:fldCharType="end"/>
          </w:r>
        </w:p>
        <w:p>
          <w:pPr>
            <w:pStyle w:val="26"/>
            <w:tabs>
              <w:tab w:val="right" w:leader="dot" w:pos="8310"/>
            </w:tabs>
            <w:ind w:left="0" w:leftChars="0" w:firstLine="420" w:firstLineChars="200"/>
          </w:pPr>
          <w:r>
            <w:fldChar w:fldCharType="begin"/>
          </w:r>
          <w:r>
            <w:instrText xml:space="preserve"> HYPERLINK \l _Toc643460372 </w:instrText>
          </w:r>
          <w:r>
            <w:fldChar w:fldCharType="separate"/>
          </w:r>
          <w:r>
            <w:rPr>
              <w:rFonts w:ascii="Times New Roman" w:hAnsi="Times New Roman"/>
              <w:bCs/>
              <w:szCs w:val="32"/>
              <w:highlight w:val="none"/>
            </w:rPr>
            <w:t>4. 包装、标记、运输和交付</w:t>
          </w:r>
          <w:r>
            <w:tab/>
          </w:r>
          <w:r>
            <w:fldChar w:fldCharType="begin"/>
          </w:r>
          <w:r>
            <w:instrText xml:space="preserve"> PAGEREF _Toc643460372 </w:instrText>
          </w:r>
          <w:r>
            <w:fldChar w:fldCharType="separate"/>
          </w:r>
          <w:r>
            <w:t>59</w:t>
          </w:r>
          <w:r>
            <w:fldChar w:fldCharType="end"/>
          </w:r>
          <w:r>
            <w:fldChar w:fldCharType="end"/>
          </w:r>
        </w:p>
        <w:p>
          <w:pPr>
            <w:pStyle w:val="26"/>
            <w:tabs>
              <w:tab w:val="right" w:leader="dot" w:pos="8310"/>
            </w:tabs>
            <w:ind w:left="0" w:leftChars="0" w:firstLine="420" w:firstLineChars="200"/>
          </w:pPr>
          <w:r>
            <w:fldChar w:fldCharType="begin"/>
          </w:r>
          <w:r>
            <w:instrText xml:space="preserve"> HYPERLINK \l _Toc562268802 </w:instrText>
          </w:r>
          <w:r>
            <w:fldChar w:fldCharType="separate"/>
          </w:r>
          <w:r>
            <w:rPr>
              <w:rFonts w:ascii="Times New Roman" w:hAnsi="Times New Roman"/>
              <w:bCs/>
              <w:szCs w:val="32"/>
              <w:highlight w:val="none"/>
            </w:rPr>
            <w:t>5. 检验和验收</w:t>
          </w:r>
          <w:r>
            <w:tab/>
          </w:r>
          <w:r>
            <w:fldChar w:fldCharType="begin"/>
          </w:r>
          <w:r>
            <w:instrText xml:space="preserve"> PAGEREF _Toc562268802 </w:instrText>
          </w:r>
          <w:r>
            <w:fldChar w:fldCharType="separate"/>
          </w:r>
          <w:r>
            <w:t>60</w:t>
          </w:r>
          <w:r>
            <w:fldChar w:fldCharType="end"/>
          </w:r>
          <w:r>
            <w:fldChar w:fldCharType="end"/>
          </w:r>
        </w:p>
        <w:p>
          <w:pPr>
            <w:pStyle w:val="26"/>
            <w:tabs>
              <w:tab w:val="right" w:leader="dot" w:pos="8310"/>
            </w:tabs>
          </w:pPr>
          <w:r>
            <w:fldChar w:fldCharType="begin"/>
          </w:r>
          <w:r>
            <w:instrText xml:space="preserve"> HYPERLINK \l _Toc1409956262 </w:instrText>
          </w:r>
          <w:r>
            <w:fldChar w:fldCharType="separate"/>
          </w:r>
          <w:r>
            <w:rPr>
              <w:rFonts w:ascii="Times New Roman" w:hAnsi="Times New Roman"/>
              <w:bCs/>
              <w:szCs w:val="32"/>
              <w:highlight w:val="none"/>
            </w:rPr>
            <w:t>6. 相关服务</w:t>
          </w:r>
          <w:r>
            <w:tab/>
          </w:r>
          <w:r>
            <w:fldChar w:fldCharType="begin"/>
          </w:r>
          <w:r>
            <w:instrText xml:space="preserve"> PAGEREF _Toc1409956262 </w:instrText>
          </w:r>
          <w:r>
            <w:fldChar w:fldCharType="separate"/>
          </w:r>
          <w:r>
            <w:t>61</w:t>
          </w:r>
          <w:r>
            <w:fldChar w:fldCharType="end"/>
          </w:r>
          <w:r>
            <w:fldChar w:fldCharType="end"/>
          </w:r>
        </w:p>
        <w:p>
          <w:pPr>
            <w:pStyle w:val="26"/>
            <w:tabs>
              <w:tab w:val="right" w:leader="dot" w:pos="8310"/>
            </w:tabs>
          </w:pPr>
          <w:r>
            <w:fldChar w:fldCharType="begin"/>
          </w:r>
          <w:r>
            <w:instrText xml:space="preserve"> HYPERLINK \l _Toc1515209893 </w:instrText>
          </w:r>
          <w:r>
            <w:fldChar w:fldCharType="separate"/>
          </w:r>
          <w:r>
            <w:rPr>
              <w:rFonts w:ascii="Times New Roman" w:hAnsi="Times New Roman"/>
              <w:bCs/>
              <w:szCs w:val="32"/>
              <w:highlight w:val="none"/>
            </w:rPr>
            <w:t>7. 质量保证期</w:t>
          </w:r>
          <w:r>
            <w:tab/>
          </w:r>
          <w:r>
            <w:fldChar w:fldCharType="begin"/>
          </w:r>
          <w:r>
            <w:instrText xml:space="preserve"> PAGEREF _Toc1515209893 </w:instrText>
          </w:r>
          <w:r>
            <w:fldChar w:fldCharType="separate"/>
          </w:r>
          <w:r>
            <w:t>61</w:t>
          </w:r>
          <w:r>
            <w:fldChar w:fldCharType="end"/>
          </w:r>
          <w:r>
            <w:fldChar w:fldCharType="end"/>
          </w:r>
        </w:p>
        <w:p>
          <w:pPr>
            <w:pStyle w:val="26"/>
            <w:tabs>
              <w:tab w:val="right" w:leader="dot" w:pos="8310"/>
            </w:tabs>
          </w:pPr>
          <w:r>
            <w:fldChar w:fldCharType="begin"/>
          </w:r>
          <w:r>
            <w:instrText xml:space="preserve"> HYPERLINK \l _Toc1743420298 </w:instrText>
          </w:r>
          <w:r>
            <w:fldChar w:fldCharType="separate"/>
          </w:r>
          <w:r>
            <w:rPr>
              <w:rFonts w:ascii="Times New Roman" w:hAnsi="Times New Roman"/>
              <w:bCs/>
              <w:szCs w:val="32"/>
              <w:highlight w:val="none"/>
            </w:rPr>
            <w:t>8. 履约保证金</w:t>
          </w:r>
          <w:r>
            <w:tab/>
          </w:r>
          <w:r>
            <w:fldChar w:fldCharType="begin"/>
          </w:r>
          <w:r>
            <w:instrText xml:space="preserve"> PAGEREF _Toc1743420298 </w:instrText>
          </w:r>
          <w:r>
            <w:fldChar w:fldCharType="separate"/>
          </w:r>
          <w:r>
            <w:t>61</w:t>
          </w:r>
          <w:r>
            <w:fldChar w:fldCharType="end"/>
          </w:r>
          <w:r>
            <w:fldChar w:fldCharType="end"/>
          </w:r>
        </w:p>
        <w:p>
          <w:pPr>
            <w:pStyle w:val="26"/>
            <w:tabs>
              <w:tab w:val="right" w:leader="dot" w:pos="8310"/>
            </w:tabs>
          </w:pPr>
          <w:r>
            <w:fldChar w:fldCharType="begin"/>
          </w:r>
          <w:r>
            <w:instrText xml:space="preserve"> HYPERLINK \l _Toc307209179 </w:instrText>
          </w:r>
          <w:r>
            <w:fldChar w:fldCharType="separate"/>
          </w:r>
          <w:r>
            <w:rPr>
              <w:rFonts w:ascii="Times New Roman" w:hAnsi="Times New Roman"/>
              <w:bCs/>
              <w:szCs w:val="32"/>
              <w:highlight w:val="none"/>
            </w:rPr>
            <w:t>9. 保证</w:t>
          </w:r>
          <w:r>
            <w:tab/>
          </w:r>
          <w:r>
            <w:fldChar w:fldCharType="begin"/>
          </w:r>
          <w:r>
            <w:instrText xml:space="preserve"> PAGEREF _Toc307209179 </w:instrText>
          </w:r>
          <w:r>
            <w:fldChar w:fldCharType="separate"/>
          </w:r>
          <w:r>
            <w:t>62</w:t>
          </w:r>
          <w:r>
            <w:fldChar w:fldCharType="end"/>
          </w:r>
          <w:r>
            <w:fldChar w:fldCharType="end"/>
          </w:r>
        </w:p>
        <w:p>
          <w:pPr>
            <w:pStyle w:val="26"/>
            <w:tabs>
              <w:tab w:val="right" w:leader="dot" w:pos="8310"/>
            </w:tabs>
          </w:pPr>
          <w:r>
            <w:fldChar w:fldCharType="begin"/>
          </w:r>
          <w:r>
            <w:instrText xml:space="preserve"> HYPERLINK \l _Toc1850748708 </w:instrText>
          </w:r>
          <w:r>
            <w:fldChar w:fldCharType="separate"/>
          </w:r>
          <w:r>
            <w:rPr>
              <w:rFonts w:ascii="Times New Roman" w:hAnsi="Times New Roman"/>
              <w:highlight w:val="none"/>
            </w:rPr>
            <w:t>10. 违约责任</w:t>
          </w:r>
          <w:r>
            <w:tab/>
          </w:r>
          <w:r>
            <w:fldChar w:fldCharType="begin"/>
          </w:r>
          <w:r>
            <w:instrText xml:space="preserve"> PAGEREF _Toc1850748708 </w:instrText>
          </w:r>
          <w:r>
            <w:fldChar w:fldCharType="separate"/>
          </w:r>
          <w:r>
            <w:t>62</w:t>
          </w:r>
          <w:r>
            <w:fldChar w:fldCharType="end"/>
          </w:r>
          <w:r>
            <w:fldChar w:fldCharType="end"/>
          </w:r>
        </w:p>
        <w:p>
          <w:pPr>
            <w:pStyle w:val="26"/>
            <w:tabs>
              <w:tab w:val="right" w:leader="dot" w:pos="8310"/>
            </w:tabs>
          </w:pPr>
          <w:r>
            <w:fldChar w:fldCharType="begin"/>
          </w:r>
          <w:r>
            <w:instrText xml:space="preserve"> HYPERLINK \l _Toc1078113374 </w:instrText>
          </w:r>
          <w:r>
            <w:fldChar w:fldCharType="separate"/>
          </w:r>
          <w:r>
            <w:rPr>
              <w:rFonts w:ascii="Times New Roman" w:hAnsi="Times New Roman"/>
              <w:highlight w:val="none"/>
            </w:rPr>
            <w:t>11. 合同的解除</w:t>
          </w:r>
          <w:r>
            <w:tab/>
          </w:r>
          <w:r>
            <w:fldChar w:fldCharType="begin"/>
          </w:r>
          <w:r>
            <w:instrText xml:space="preserve"> PAGEREF _Toc1078113374 </w:instrText>
          </w:r>
          <w:r>
            <w:fldChar w:fldCharType="separate"/>
          </w:r>
          <w:r>
            <w:t>63</w:t>
          </w:r>
          <w:r>
            <w:fldChar w:fldCharType="end"/>
          </w:r>
          <w:r>
            <w:fldChar w:fldCharType="end"/>
          </w:r>
        </w:p>
        <w:p>
          <w:pPr>
            <w:pStyle w:val="26"/>
            <w:tabs>
              <w:tab w:val="right" w:leader="dot" w:pos="8310"/>
            </w:tabs>
          </w:pPr>
          <w:r>
            <w:fldChar w:fldCharType="begin"/>
          </w:r>
          <w:r>
            <w:instrText xml:space="preserve"> HYPERLINK \l _Toc2007232912 </w:instrText>
          </w:r>
          <w:r>
            <w:fldChar w:fldCharType="separate"/>
          </w:r>
          <w:r>
            <w:rPr>
              <w:rFonts w:ascii="Times New Roman" w:hAnsi="Times New Roman"/>
              <w:bCs/>
              <w:szCs w:val="32"/>
              <w:highlight w:val="none"/>
            </w:rPr>
            <w:t>12. 争议的解决</w:t>
          </w:r>
          <w:r>
            <w:tab/>
          </w:r>
          <w:r>
            <w:fldChar w:fldCharType="begin"/>
          </w:r>
          <w:r>
            <w:instrText xml:space="preserve"> PAGEREF _Toc2007232912 </w:instrText>
          </w:r>
          <w:r>
            <w:fldChar w:fldCharType="separate"/>
          </w:r>
          <w:r>
            <w:t>63</w:t>
          </w:r>
          <w:r>
            <w:fldChar w:fldCharType="end"/>
          </w:r>
          <w:r>
            <w:fldChar w:fldCharType="end"/>
          </w:r>
        </w:p>
        <w:p>
          <w:pPr>
            <w:pStyle w:val="26"/>
            <w:tabs>
              <w:tab w:val="right" w:leader="dot" w:pos="8310"/>
            </w:tabs>
          </w:pPr>
          <w:r>
            <w:fldChar w:fldCharType="begin"/>
          </w:r>
          <w:r>
            <w:instrText xml:space="preserve"> HYPERLINK \l _Toc72953389 </w:instrText>
          </w:r>
          <w:r>
            <w:fldChar w:fldCharType="separate"/>
          </w:r>
          <w:r>
            <w:rPr>
              <w:rFonts w:ascii="Times New Roman" w:hAnsi="Times New Roman"/>
              <w:highlight w:val="none"/>
            </w:rPr>
            <w:t>第二节专用合同条款</w:t>
          </w:r>
          <w:r>
            <w:tab/>
          </w:r>
          <w:r>
            <w:fldChar w:fldCharType="begin"/>
          </w:r>
          <w:r>
            <w:instrText xml:space="preserve"> PAGEREF _Toc72953389 </w:instrText>
          </w:r>
          <w:r>
            <w:fldChar w:fldCharType="separate"/>
          </w:r>
          <w:r>
            <w:t>64</w:t>
          </w:r>
          <w:r>
            <w:fldChar w:fldCharType="end"/>
          </w:r>
          <w:r>
            <w:fldChar w:fldCharType="end"/>
          </w:r>
        </w:p>
        <w:p>
          <w:pPr>
            <w:pStyle w:val="26"/>
            <w:tabs>
              <w:tab w:val="right" w:leader="dot" w:pos="8310"/>
            </w:tabs>
          </w:pPr>
          <w:r>
            <w:fldChar w:fldCharType="begin"/>
          </w:r>
          <w:r>
            <w:instrText xml:space="preserve"> HYPERLINK \l _Toc424597498 </w:instrText>
          </w:r>
          <w:r>
            <w:fldChar w:fldCharType="separate"/>
          </w:r>
          <w:r>
            <w:rPr>
              <w:rFonts w:ascii="Times New Roman" w:hAnsi="Times New Roman"/>
              <w:highlight w:val="none"/>
            </w:rPr>
            <w:t>第三节合同附件格式</w:t>
          </w:r>
          <w:r>
            <w:tab/>
          </w:r>
          <w:r>
            <w:fldChar w:fldCharType="begin"/>
          </w:r>
          <w:r>
            <w:instrText xml:space="preserve"> PAGEREF _Toc424597498 </w:instrText>
          </w:r>
          <w:r>
            <w:fldChar w:fldCharType="separate"/>
          </w:r>
          <w:r>
            <w:t>68</w:t>
          </w:r>
          <w:r>
            <w:fldChar w:fldCharType="end"/>
          </w:r>
          <w:r>
            <w:fldChar w:fldCharType="end"/>
          </w:r>
        </w:p>
        <w:p>
          <w:pPr>
            <w:pStyle w:val="22"/>
            <w:tabs>
              <w:tab w:val="right" w:leader="dot" w:pos="8310"/>
            </w:tabs>
          </w:pPr>
          <w:r>
            <w:fldChar w:fldCharType="begin"/>
          </w:r>
          <w:r>
            <w:instrText xml:space="preserve"> HYPERLINK \l _Toc1830606720 </w:instrText>
          </w:r>
          <w:r>
            <w:fldChar w:fldCharType="separate"/>
          </w:r>
          <w:r>
            <w:rPr>
              <w:highlight w:val="none"/>
            </w:rPr>
            <w:t>第五章供货要求</w:t>
          </w:r>
          <w:r>
            <w:tab/>
          </w:r>
          <w:r>
            <w:fldChar w:fldCharType="begin"/>
          </w:r>
          <w:r>
            <w:instrText xml:space="preserve"> PAGEREF _Toc1830606720 </w:instrText>
          </w:r>
          <w:r>
            <w:fldChar w:fldCharType="separate"/>
          </w:r>
          <w:r>
            <w:t>73</w:t>
          </w:r>
          <w:r>
            <w:fldChar w:fldCharType="end"/>
          </w:r>
          <w:r>
            <w:fldChar w:fldCharType="end"/>
          </w:r>
        </w:p>
        <w:p>
          <w:pPr>
            <w:pStyle w:val="26"/>
            <w:tabs>
              <w:tab w:val="right" w:leader="dot" w:pos="8310"/>
            </w:tabs>
          </w:pPr>
          <w:r>
            <w:fldChar w:fldCharType="begin"/>
          </w:r>
          <w:r>
            <w:instrText xml:space="preserve"> HYPERLINK \l _Toc1071925543 </w:instrText>
          </w:r>
          <w:r>
            <w:fldChar w:fldCharType="separate"/>
          </w:r>
          <w:r>
            <w:rPr>
              <w:rFonts w:ascii="Times New Roman" w:hAnsi="Times New Roman"/>
              <w:szCs w:val="28"/>
              <w:highlight w:val="none"/>
            </w:rPr>
            <w:t>一、项目概况及总体要求</w:t>
          </w:r>
          <w:r>
            <w:tab/>
          </w:r>
          <w:r>
            <w:fldChar w:fldCharType="begin"/>
          </w:r>
          <w:r>
            <w:instrText xml:space="preserve"> PAGEREF _Toc1071925543 </w:instrText>
          </w:r>
          <w:r>
            <w:fldChar w:fldCharType="separate"/>
          </w:r>
          <w:r>
            <w:t>74</w:t>
          </w:r>
          <w:r>
            <w:fldChar w:fldCharType="end"/>
          </w:r>
          <w:r>
            <w:fldChar w:fldCharType="end"/>
          </w:r>
        </w:p>
        <w:p>
          <w:pPr>
            <w:pStyle w:val="26"/>
            <w:tabs>
              <w:tab w:val="right" w:leader="dot" w:pos="8310"/>
            </w:tabs>
          </w:pPr>
          <w:r>
            <w:fldChar w:fldCharType="begin"/>
          </w:r>
          <w:r>
            <w:instrText xml:space="preserve"> HYPERLINK \l _Toc539239377 </w:instrText>
          </w:r>
          <w:r>
            <w:fldChar w:fldCharType="separate"/>
          </w:r>
          <w:r>
            <w:rPr>
              <w:rFonts w:ascii="Times New Roman" w:hAnsi="Times New Roman"/>
              <w:szCs w:val="28"/>
              <w:highlight w:val="none"/>
            </w:rPr>
            <w:t>二、材料需求一览表</w:t>
          </w:r>
          <w:r>
            <w:tab/>
          </w:r>
          <w:r>
            <w:fldChar w:fldCharType="begin"/>
          </w:r>
          <w:r>
            <w:instrText xml:space="preserve"> PAGEREF _Toc539239377 </w:instrText>
          </w:r>
          <w:r>
            <w:fldChar w:fldCharType="separate"/>
          </w:r>
          <w:r>
            <w:t>74</w:t>
          </w:r>
          <w:r>
            <w:fldChar w:fldCharType="end"/>
          </w:r>
          <w:r>
            <w:fldChar w:fldCharType="end"/>
          </w:r>
        </w:p>
        <w:p>
          <w:pPr>
            <w:pStyle w:val="26"/>
            <w:tabs>
              <w:tab w:val="right" w:leader="dot" w:pos="8310"/>
            </w:tabs>
          </w:pPr>
          <w:r>
            <w:fldChar w:fldCharType="begin"/>
          </w:r>
          <w:r>
            <w:instrText xml:space="preserve"> HYPERLINK \l _Toc2003794117 </w:instrText>
          </w:r>
          <w:r>
            <w:fldChar w:fldCharType="separate"/>
          </w:r>
          <w:r>
            <w:rPr>
              <w:rFonts w:ascii="Times New Roman" w:hAnsi="Times New Roman"/>
              <w:szCs w:val="28"/>
              <w:highlight w:val="none"/>
            </w:rPr>
            <w:t>三、质量标准</w:t>
          </w:r>
          <w:r>
            <w:tab/>
          </w:r>
          <w:r>
            <w:fldChar w:fldCharType="begin"/>
          </w:r>
          <w:r>
            <w:instrText xml:space="preserve"> PAGEREF _Toc2003794117 </w:instrText>
          </w:r>
          <w:r>
            <w:fldChar w:fldCharType="separate"/>
          </w:r>
          <w:r>
            <w:t>74</w:t>
          </w:r>
          <w:r>
            <w:fldChar w:fldCharType="end"/>
          </w:r>
          <w:r>
            <w:fldChar w:fldCharType="end"/>
          </w:r>
        </w:p>
        <w:p>
          <w:pPr>
            <w:pStyle w:val="26"/>
            <w:tabs>
              <w:tab w:val="right" w:leader="dot" w:pos="8310"/>
            </w:tabs>
          </w:pPr>
          <w:r>
            <w:fldChar w:fldCharType="begin"/>
          </w:r>
          <w:r>
            <w:instrText xml:space="preserve"> HYPERLINK \l _Toc366830876 </w:instrText>
          </w:r>
          <w:r>
            <w:fldChar w:fldCharType="separate"/>
          </w:r>
          <w:r>
            <w:rPr>
              <w:rFonts w:ascii="Times New Roman" w:hAnsi="Times New Roman"/>
              <w:szCs w:val="28"/>
              <w:highlight w:val="none"/>
            </w:rPr>
            <w:t>四、验收标准</w:t>
          </w:r>
          <w:r>
            <w:tab/>
          </w:r>
          <w:r>
            <w:fldChar w:fldCharType="begin"/>
          </w:r>
          <w:r>
            <w:instrText xml:space="preserve"> PAGEREF _Toc366830876 </w:instrText>
          </w:r>
          <w:r>
            <w:fldChar w:fldCharType="separate"/>
          </w:r>
          <w:r>
            <w:t>74</w:t>
          </w:r>
          <w:r>
            <w:fldChar w:fldCharType="end"/>
          </w:r>
          <w:r>
            <w:fldChar w:fldCharType="end"/>
          </w:r>
        </w:p>
        <w:p>
          <w:pPr>
            <w:pStyle w:val="26"/>
            <w:tabs>
              <w:tab w:val="right" w:leader="dot" w:pos="8310"/>
            </w:tabs>
          </w:pPr>
          <w:r>
            <w:fldChar w:fldCharType="begin"/>
          </w:r>
          <w:r>
            <w:instrText xml:space="preserve"> HYPERLINK \l _Toc884209499 </w:instrText>
          </w:r>
          <w:r>
            <w:fldChar w:fldCharType="separate"/>
          </w:r>
          <w:r>
            <w:rPr>
              <w:rFonts w:ascii="Times New Roman" w:hAnsi="Times New Roman"/>
              <w:szCs w:val="28"/>
              <w:highlight w:val="none"/>
            </w:rPr>
            <w:t>五、相关服务要求</w:t>
          </w:r>
          <w:r>
            <w:tab/>
          </w:r>
          <w:r>
            <w:fldChar w:fldCharType="begin"/>
          </w:r>
          <w:r>
            <w:instrText xml:space="preserve"> PAGEREF _Toc884209499 </w:instrText>
          </w:r>
          <w:r>
            <w:fldChar w:fldCharType="separate"/>
          </w:r>
          <w:r>
            <w:t>74</w:t>
          </w:r>
          <w:r>
            <w:fldChar w:fldCharType="end"/>
          </w:r>
          <w:r>
            <w:fldChar w:fldCharType="end"/>
          </w:r>
        </w:p>
        <w:p>
          <w:pPr>
            <w:pStyle w:val="22"/>
            <w:tabs>
              <w:tab w:val="right" w:leader="dot" w:pos="8310"/>
            </w:tabs>
          </w:pPr>
          <w:r>
            <w:fldChar w:fldCharType="begin"/>
          </w:r>
          <w:r>
            <w:instrText xml:space="preserve"> HYPERLINK \l _Toc777660537 </w:instrText>
          </w:r>
          <w:r>
            <w:fldChar w:fldCharType="separate"/>
          </w:r>
          <w:r>
            <w:rPr>
              <w:highlight w:val="none"/>
            </w:rPr>
            <w:t>第六章投标文件格式</w:t>
          </w:r>
          <w:r>
            <w:tab/>
          </w:r>
          <w:r>
            <w:fldChar w:fldCharType="begin"/>
          </w:r>
          <w:r>
            <w:instrText xml:space="preserve"> PAGEREF _Toc777660537 </w:instrText>
          </w:r>
          <w:r>
            <w:fldChar w:fldCharType="separate"/>
          </w:r>
          <w:r>
            <w:t>75</w:t>
          </w:r>
          <w:r>
            <w:fldChar w:fldCharType="end"/>
          </w:r>
          <w:r>
            <w:fldChar w:fldCharType="end"/>
          </w:r>
        </w:p>
        <w:p>
          <w:pPr>
            <w:pStyle w:val="26"/>
            <w:tabs>
              <w:tab w:val="right" w:leader="dot" w:pos="8310"/>
            </w:tabs>
          </w:pPr>
          <w:r>
            <w:fldChar w:fldCharType="begin"/>
          </w:r>
          <w:r>
            <w:instrText xml:space="preserve"> HYPERLINK \l _Toc1446860251 </w:instrText>
          </w:r>
          <w:r>
            <w:fldChar w:fldCharType="separate"/>
          </w:r>
          <w:r>
            <w:rPr>
              <w:rFonts w:ascii="Times New Roman" w:hAnsi="Times New Roman"/>
              <w:szCs w:val="36"/>
              <w:highlight w:val="none"/>
            </w:rPr>
            <w:t>投标文件</w:t>
          </w:r>
          <w:r>
            <w:rPr>
              <w:rFonts w:hint="eastAsia" w:ascii="Times New Roman" w:hAnsi="Times New Roman"/>
              <w:szCs w:val="36"/>
              <w:highlight w:val="none"/>
            </w:rPr>
            <w:t>（商务标）</w:t>
          </w:r>
          <w:r>
            <w:tab/>
          </w:r>
          <w:r>
            <w:fldChar w:fldCharType="begin"/>
          </w:r>
          <w:r>
            <w:instrText xml:space="preserve"> PAGEREF _Toc1446860251 </w:instrText>
          </w:r>
          <w:r>
            <w:fldChar w:fldCharType="separate"/>
          </w:r>
          <w:r>
            <w:t>76</w:t>
          </w:r>
          <w:r>
            <w:fldChar w:fldCharType="end"/>
          </w:r>
          <w:r>
            <w:fldChar w:fldCharType="end"/>
          </w:r>
        </w:p>
        <w:p>
          <w:pPr>
            <w:pStyle w:val="26"/>
            <w:tabs>
              <w:tab w:val="right" w:leader="dot" w:pos="8310"/>
            </w:tabs>
          </w:pPr>
          <w:r>
            <w:fldChar w:fldCharType="begin"/>
          </w:r>
          <w:r>
            <w:instrText xml:space="preserve"> HYPERLINK \l _Toc1139967573 </w:instrText>
          </w:r>
          <w:r>
            <w:fldChar w:fldCharType="separate"/>
          </w:r>
          <w:r>
            <w:rPr>
              <w:rFonts w:ascii="Times New Roman" w:hAnsi="Times New Roman"/>
              <w:highlight w:val="none"/>
            </w:rPr>
            <w:t>目录</w:t>
          </w:r>
          <w:r>
            <w:tab/>
          </w:r>
          <w:r>
            <w:fldChar w:fldCharType="begin"/>
          </w:r>
          <w:r>
            <w:instrText xml:space="preserve"> PAGEREF _Toc1139967573 </w:instrText>
          </w:r>
          <w:r>
            <w:fldChar w:fldCharType="separate"/>
          </w:r>
          <w:r>
            <w:t>77</w:t>
          </w:r>
          <w:r>
            <w:fldChar w:fldCharType="end"/>
          </w:r>
          <w:r>
            <w:fldChar w:fldCharType="end"/>
          </w:r>
        </w:p>
        <w:p>
          <w:pPr>
            <w:pStyle w:val="26"/>
            <w:tabs>
              <w:tab w:val="right" w:leader="dot" w:pos="8310"/>
            </w:tabs>
          </w:pPr>
          <w:r>
            <w:fldChar w:fldCharType="begin"/>
          </w:r>
          <w:r>
            <w:instrText xml:space="preserve"> HYPERLINK \l _Toc1880939012 </w:instrText>
          </w:r>
          <w:r>
            <w:fldChar w:fldCharType="separate"/>
          </w:r>
          <w:r>
            <w:rPr>
              <w:rFonts w:ascii="Times New Roman" w:hAnsi="Times New Roman"/>
              <w:highlight w:val="none"/>
            </w:rPr>
            <w:t>一、投标函</w:t>
          </w:r>
          <w:r>
            <w:tab/>
          </w:r>
          <w:r>
            <w:fldChar w:fldCharType="begin"/>
          </w:r>
          <w:r>
            <w:instrText xml:space="preserve"> PAGEREF _Toc1880939012 </w:instrText>
          </w:r>
          <w:r>
            <w:fldChar w:fldCharType="separate"/>
          </w:r>
          <w:r>
            <w:t>78</w:t>
          </w:r>
          <w:r>
            <w:fldChar w:fldCharType="end"/>
          </w:r>
          <w:r>
            <w:fldChar w:fldCharType="end"/>
          </w:r>
        </w:p>
        <w:p>
          <w:pPr>
            <w:pStyle w:val="26"/>
            <w:tabs>
              <w:tab w:val="right" w:leader="dot" w:pos="8310"/>
            </w:tabs>
          </w:pPr>
          <w:r>
            <w:fldChar w:fldCharType="begin"/>
          </w:r>
          <w:r>
            <w:instrText xml:space="preserve"> HYPERLINK \l _Toc824287765 </w:instrText>
          </w:r>
          <w:r>
            <w:fldChar w:fldCharType="separate"/>
          </w:r>
          <w:r>
            <w:rPr>
              <w:rFonts w:ascii="Times New Roman" w:hAnsi="Times New Roman"/>
              <w:highlight w:val="none"/>
            </w:rPr>
            <w:t>二、法定代表人（单位负责人）身份证明</w:t>
          </w:r>
          <w:r>
            <w:tab/>
          </w:r>
          <w:r>
            <w:fldChar w:fldCharType="begin"/>
          </w:r>
          <w:r>
            <w:instrText xml:space="preserve"> PAGEREF _Toc824287765 </w:instrText>
          </w:r>
          <w:r>
            <w:fldChar w:fldCharType="separate"/>
          </w:r>
          <w:r>
            <w:t>80</w:t>
          </w:r>
          <w:r>
            <w:fldChar w:fldCharType="end"/>
          </w:r>
          <w:r>
            <w:fldChar w:fldCharType="end"/>
          </w:r>
        </w:p>
        <w:p>
          <w:pPr>
            <w:pStyle w:val="26"/>
            <w:tabs>
              <w:tab w:val="right" w:leader="dot" w:pos="8310"/>
            </w:tabs>
          </w:pPr>
          <w:r>
            <w:fldChar w:fldCharType="begin"/>
          </w:r>
          <w:r>
            <w:instrText xml:space="preserve"> HYPERLINK \l _Toc1115896014 </w:instrText>
          </w:r>
          <w:r>
            <w:fldChar w:fldCharType="separate"/>
          </w:r>
          <w:r>
            <w:rPr>
              <w:rFonts w:ascii="Times New Roman" w:hAnsi="Times New Roman"/>
              <w:highlight w:val="none"/>
            </w:rPr>
            <w:t>二、授权委托书</w:t>
          </w:r>
          <w:r>
            <w:tab/>
          </w:r>
          <w:r>
            <w:fldChar w:fldCharType="begin"/>
          </w:r>
          <w:r>
            <w:instrText xml:space="preserve"> PAGEREF _Toc1115896014 </w:instrText>
          </w:r>
          <w:r>
            <w:fldChar w:fldCharType="separate"/>
          </w:r>
          <w:r>
            <w:t>81</w:t>
          </w:r>
          <w:r>
            <w:fldChar w:fldCharType="end"/>
          </w:r>
          <w:r>
            <w:fldChar w:fldCharType="end"/>
          </w:r>
        </w:p>
        <w:p>
          <w:pPr>
            <w:pStyle w:val="26"/>
            <w:tabs>
              <w:tab w:val="right" w:leader="dot" w:pos="8310"/>
            </w:tabs>
          </w:pPr>
          <w:r>
            <w:fldChar w:fldCharType="begin"/>
          </w:r>
          <w:r>
            <w:instrText xml:space="preserve"> HYPERLINK \l _Toc376915736 </w:instrText>
          </w:r>
          <w:r>
            <w:fldChar w:fldCharType="separate"/>
          </w:r>
          <w:r>
            <w:rPr>
              <w:rFonts w:ascii="Times New Roman" w:hAnsi="Times New Roman"/>
              <w:highlight w:val="none"/>
            </w:rPr>
            <w:t>三、联合体协议书</w:t>
          </w:r>
          <w:r>
            <w:tab/>
          </w:r>
          <w:r>
            <w:fldChar w:fldCharType="begin"/>
          </w:r>
          <w:r>
            <w:instrText xml:space="preserve"> PAGEREF _Toc376915736 </w:instrText>
          </w:r>
          <w:r>
            <w:fldChar w:fldCharType="separate"/>
          </w:r>
          <w:r>
            <w:t>82</w:t>
          </w:r>
          <w:r>
            <w:fldChar w:fldCharType="end"/>
          </w:r>
          <w:r>
            <w:fldChar w:fldCharType="end"/>
          </w:r>
        </w:p>
        <w:p>
          <w:pPr>
            <w:pStyle w:val="26"/>
            <w:tabs>
              <w:tab w:val="right" w:leader="dot" w:pos="8310"/>
            </w:tabs>
          </w:pPr>
          <w:r>
            <w:fldChar w:fldCharType="begin"/>
          </w:r>
          <w:r>
            <w:instrText xml:space="preserve"> HYPERLINK \l _Toc1463301204 </w:instrText>
          </w:r>
          <w:r>
            <w:fldChar w:fldCharType="separate"/>
          </w:r>
          <w:r>
            <w:rPr>
              <w:rFonts w:ascii="Times New Roman" w:hAnsi="Times New Roman"/>
              <w:highlight w:val="none"/>
            </w:rPr>
            <w:t>四、投标保证金</w:t>
          </w:r>
          <w:r>
            <w:tab/>
          </w:r>
          <w:r>
            <w:fldChar w:fldCharType="begin"/>
          </w:r>
          <w:r>
            <w:instrText xml:space="preserve"> PAGEREF _Toc1463301204 </w:instrText>
          </w:r>
          <w:r>
            <w:fldChar w:fldCharType="separate"/>
          </w:r>
          <w:r>
            <w:t>83</w:t>
          </w:r>
          <w:r>
            <w:fldChar w:fldCharType="end"/>
          </w:r>
          <w:r>
            <w:fldChar w:fldCharType="end"/>
          </w:r>
        </w:p>
        <w:p>
          <w:pPr>
            <w:pStyle w:val="26"/>
            <w:tabs>
              <w:tab w:val="right" w:leader="dot" w:pos="8310"/>
            </w:tabs>
          </w:pPr>
          <w:r>
            <w:fldChar w:fldCharType="begin"/>
          </w:r>
          <w:r>
            <w:instrText xml:space="preserve"> HYPERLINK \l _Toc1770662487 </w:instrText>
          </w:r>
          <w:r>
            <w:fldChar w:fldCharType="separate"/>
          </w:r>
          <w:r>
            <w:rPr>
              <w:rFonts w:ascii="Times New Roman" w:hAnsi="Times New Roman"/>
              <w:highlight w:val="none"/>
            </w:rPr>
            <w:t>五、商务偏差表</w:t>
          </w:r>
          <w:r>
            <w:tab/>
          </w:r>
          <w:r>
            <w:fldChar w:fldCharType="begin"/>
          </w:r>
          <w:r>
            <w:instrText xml:space="preserve"> PAGEREF _Toc1770662487 </w:instrText>
          </w:r>
          <w:r>
            <w:fldChar w:fldCharType="separate"/>
          </w:r>
          <w:r>
            <w:t>84</w:t>
          </w:r>
          <w:r>
            <w:fldChar w:fldCharType="end"/>
          </w:r>
          <w:r>
            <w:fldChar w:fldCharType="end"/>
          </w:r>
        </w:p>
        <w:p>
          <w:pPr>
            <w:pStyle w:val="26"/>
            <w:tabs>
              <w:tab w:val="right" w:leader="dot" w:pos="8310"/>
            </w:tabs>
          </w:pPr>
          <w:r>
            <w:fldChar w:fldCharType="begin"/>
          </w:r>
          <w:r>
            <w:instrText xml:space="preserve"> HYPERLINK \l _Toc884957730 </w:instrText>
          </w:r>
          <w:r>
            <w:fldChar w:fldCharType="separate"/>
          </w:r>
          <w:r>
            <w:rPr>
              <w:rFonts w:ascii="Times New Roman" w:hAnsi="Times New Roman"/>
              <w:highlight w:val="none"/>
            </w:rPr>
            <w:t>六、分项报价表</w:t>
          </w:r>
          <w:r>
            <w:tab/>
          </w:r>
          <w:r>
            <w:fldChar w:fldCharType="begin"/>
          </w:r>
          <w:r>
            <w:instrText xml:space="preserve"> PAGEREF _Toc884957730 </w:instrText>
          </w:r>
          <w:r>
            <w:fldChar w:fldCharType="separate"/>
          </w:r>
          <w:r>
            <w:t>85</w:t>
          </w:r>
          <w:r>
            <w:fldChar w:fldCharType="end"/>
          </w:r>
          <w:r>
            <w:fldChar w:fldCharType="end"/>
          </w:r>
        </w:p>
        <w:p>
          <w:pPr>
            <w:pStyle w:val="26"/>
            <w:tabs>
              <w:tab w:val="right" w:leader="dot" w:pos="8310"/>
            </w:tabs>
          </w:pPr>
          <w:r>
            <w:fldChar w:fldCharType="begin"/>
          </w:r>
          <w:r>
            <w:instrText xml:space="preserve"> HYPERLINK \l _Toc2034938537 </w:instrText>
          </w:r>
          <w:r>
            <w:fldChar w:fldCharType="separate"/>
          </w:r>
          <w:r>
            <w:rPr>
              <w:rFonts w:ascii="Times New Roman" w:hAnsi="Times New Roman"/>
              <w:highlight w:val="none"/>
            </w:rPr>
            <w:t>七、资格审查资料</w:t>
          </w:r>
          <w:r>
            <w:tab/>
          </w:r>
          <w:r>
            <w:fldChar w:fldCharType="begin"/>
          </w:r>
          <w:r>
            <w:instrText xml:space="preserve"> PAGEREF _Toc2034938537 </w:instrText>
          </w:r>
          <w:r>
            <w:fldChar w:fldCharType="separate"/>
          </w:r>
          <w:r>
            <w:t>86</w:t>
          </w:r>
          <w:r>
            <w:fldChar w:fldCharType="end"/>
          </w:r>
          <w:r>
            <w:fldChar w:fldCharType="end"/>
          </w:r>
        </w:p>
        <w:p>
          <w:pPr>
            <w:pStyle w:val="26"/>
            <w:tabs>
              <w:tab w:val="right" w:leader="dot" w:pos="8310"/>
            </w:tabs>
            <w:ind w:left="0" w:leftChars="0" w:firstLine="420" w:firstLineChars="200"/>
          </w:pPr>
          <w:r>
            <w:fldChar w:fldCharType="begin"/>
          </w:r>
          <w:r>
            <w:instrText xml:space="preserve"> HYPERLINK \l _Toc1105929842 </w:instrText>
          </w:r>
          <w:r>
            <w:fldChar w:fldCharType="separate"/>
          </w:r>
          <w:r>
            <w:rPr>
              <w:rFonts w:hint="eastAsia" w:ascii="Times New Roman" w:hAnsi="Times New Roman"/>
              <w:highlight w:val="none"/>
            </w:rPr>
            <w:t>八</w:t>
          </w:r>
          <w:r>
            <w:rPr>
              <w:rFonts w:ascii="Times New Roman" w:hAnsi="Times New Roman"/>
              <w:highlight w:val="none"/>
            </w:rPr>
            <w:t>、其他资料</w:t>
          </w:r>
          <w:r>
            <w:tab/>
          </w:r>
          <w:r>
            <w:fldChar w:fldCharType="begin"/>
          </w:r>
          <w:r>
            <w:instrText xml:space="preserve"> PAGEREF _Toc1105929842 </w:instrText>
          </w:r>
          <w:r>
            <w:fldChar w:fldCharType="separate"/>
          </w:r>
          <w:r>
            <w:t>92</w:t>
          </w:r>
          <w:r>
            <w:fldChar w:fldCharType="end"/>
          </w:r>
          <w:r>
            <w:fldChar w:fldCharType="end"/>
          </w:r>
        </w:p>
        <w:p>
          <w:pPr>
            <w:pStyle w:val="26"/>
            <w:tabs>
              <w:tab w:val="right" w:leader="dot" w:pos="8310"/>
            </w:tabs>
          </w:pPr>
          <w:r>
            <w:fldChar w:fldCharType="begin"/>
          </w:r>
          <w:r>
            <w:instrText xml:space="preserve"> HYPERLINK \l _Toc859497666 </w:instrText>
          </w:r>
          <w:r>
            <w:fldChar w:fldCharType="separate"/>
          </w:r>
          <w:r>
            <w:rPr>
              <w:rFonts w:ascii="Times New Roman" w:hAnsi="Times New Roman"/>
              <w:highlight w:val="none"/>
            </w:rPr>
            <w:t>投标文件</w:t>
          </w:r>
          <w:r>
            <w:rPr>
              <w:rFonts w:hint="eastAsia" w:ascii="Times New Roman" w:hAnsi="Times New Roman"/>
              <w:highlight w:val="none"/>
            </w:rPr>
            <w:t>（技术标）</w:t>
          </w:r>
          <w:r>
            <w:tab/>
          </w:r>
          <w:r>
            <w:fldChar w:fldCharType="begin"/>
          </w:r>
          <w:r>
            <w:instrText xml:space="preserve"> PAGEREF _Toc859497666 </w:instrText>
          </w:r>
          <w:r>
            <w:fldChar w:fldCharType="separate"/>
          </w:r>
          <w:r>
            <w:t>93</w:t>
          </w:r>
          <w:r>
            <w:fldChar w:fldCharType="end"/>
          </w:r>
          <w:r>
            <w:fldChar w:fldCharType="end"/>
          </w:r>
        </w:p>
        <w:p>
          <w:pPr>
            <w:pStyle w:val="26"/>
            <w:tabs>
              <w:tab w:val="right" w:leader="dot" w:pos="8310"/>
            </w:tabs>
          </w:pPr>
          <w:r>
            <w:fldChar w:fldCharType="begin"/>
          </w:r>
          <w:r>
            <w:instrText xml:space="preserve"> HYPERLINK \l _Toc314388788 </w:instrText>
          </w:r>
          <w:r>
            <w:fldChar w:fldCharType="separate"/>
          </w:r>
          <w:r>
            <w:rPr>
              <w:rFonts w:ascii="Times New Roman" w:hAnsi="Times New Roman"/>
              <w:highlight w:val="none"/>
            </w:rPr>
            <w:t>目录</w:t>
          </w:r>
          <w:r>
            <w:tab/>
          </w:r>
          <w:r>
            <w:fldChar w:fldCharType="begin"/>
          </w:r>
          <w:r>
            <w:instrText xml:space="preserve"> PAGEREF _Toc314388788 </w:instrText>
          </w:r>
          <w:r>
            <w:fldChar w:fldCharType="separate"/>
          </w:r>
          <w:r>
            <w:t>94</w:t>
          </w:r>
          <w:r>
            <w:fldChar w:fldCharType="end"/>
          </w:r>
          <w:r>
            <w:fldChar w:fldCharType="end"/>
          </w:r>
        </w:p>
        <w:p>
          <w:pPr>
            <w:pStyle w:val="26"/>
            <w:tabs>
              <w:tab w:val="right" w:leader="dot" w:pos="8310"/>
            </w:tabs>
          </w:pPr>
          <w:r>
            <w:fldChar w:fldCharType="begin"/>
          </w:r>
          <w:r>
            <w:instrText xml:space="preserve"> HYPERLINK \l _Toc1178883232 </w:instrText>
          </w:r>
          <w:r>
            <w:fldChar w:fldCharType="separate"/>
          </w:r>
          <w:r>
            <w:rPr>
              <w:rFonts w:hint="eastAsia" w:ascii="Times New Roman" w:hAnsi="Times New Roman"/>
              <w:highlight w:val="none"/>
            </w:rPr>
            <w:t>一</w:t>
          </w:r>
          <w:r>
            <w:rPr>
              <w:rFonts w:ascii="Times New Roman" w:hAnsi="Times New Roman"/>
              <w:highlight w:val="none"/>
            </w:rPr>
            <w:t>、技术偏差表</w:t>
          </w:r>
          <w:r>
            <w:tab/>
          </w:r>
          <w:r>
            <w:fldChar w:fldCharType="begin"/>
          </w:r>
          <w:r>
            <w:instrText xml:space="preserve"> PAGEREF _Toc1178883232 </w:instrText>
          </w:r>
          <w:r>
            <w:fldChar w:fldCharType="separate"/>
          </w:r>
          <w:r>
            <w:t>95</w:t>
          </w:r>
          <w:r>
            <w:fldChar w:fldCharType="end"/>
          </w:r>
          <w:r>
            <w:fldChar w:fldCharType="end"/>
          </w:r>
        </w:p>
        <w:p>
          <w:pPr>
            <w:pStyle w:val="26"/>
            <w:tabs>
              <w:tab w:val="right" w:leader="dot" w:pos="8310"/>
            </w:tabs>
          </w:pPr>
          <w:r>
            <w:fldChar w:fldCharType="begin"/>
          </w:r>
          <w:r>
            <w:instrText xml:space="preserve"> HYPERLINK \l _Toc1284095165 </w:instrText>
          </w:r>
          <w:r>
            <w:fldChar w:fldCharType="separate"/>
          </w:r>
          <w:r>
            <w:rPr>
              <w:rFonts w:hint="eastAsia" w:ascii="Times New Roman" w:hAnsi="Times New Roman"/>
              <w:highlight w:val="none"/>
            </w:rPr>
            <w:t>二</w:t>
          </w:r>
          <w:r>
            <w:rPr>
              <w:rFonts w:ascii="Times New Roman" w:hAnsi="Times New Roman"/>
              <w:highlight w:val="none"/>
            </w:rPr>
            <w:t>、投标材料质量标准的详细描述</w:t>
          </w:r>
          <w:r>
            <w:tab/>
          </w:r>
          <w:r>
            <w:fldChar w:fldCharType="begin"/>
          </w:r>
          <w:r>
            <w:instrText xml:space="preserve"> PAGEREF _Toc1284095165 </w:instrText>
          </w:r>
          <w:r>
            <w:fldChar w:fldCharType="separate"/>
          </w:r>
          <w:r>
            <w:t>96</w:t>
          </w:r>
          <w:r>
            <w:fldChar w:fldCharType="end"/>
          </w:r>
          <w:r>
            <w:fldChar w:fldCharType="end"/>
          </w:r>
        </w:p>
        <w:p>
          <w:pPr>
            <w:pStyle w:val="26"/>
            <w:tabs>
              <w:tab w:val="right" w:leader="dot" w:pos="8310"/>
            </w:tabs>
          </w:pPr>
          <w:r>
            <w:fldChar w:fldCharType="begin"/>
          </w:r>
          <w:r>
            <w:instrText xml:space="preserve"> HYPERLINK \l _Toc839538672 </w:instrText>
          </w:r>
          <w:r>
            <w:fldChar w:fldCharType="separate"/>
          </w:r>
          <w:r>
            <w:rPr>
              <w:rFonts w:hint="eastAsia" w:ascii="Times New Roman" w:hAnsi="Times New Roman"/>
              <w:highlight w:val="none"/>
            </w:rPr>
            <w:t>三</w:t>
          </w:r>
          <w:r>
            <w:rPr>
              <w:rFonts w:ascii="Times New Roman" w:hAnsi="Times New Roman"/>
              <w:highlight w:val="none"/>
            </w:rPr>
            <w:t>、技术支持资料</w:t>
          </w:r>
          <w:r>
            <w:tab/>
          </w:r>
          <w:r>
            <w:fldChar w:fldCharType="begin"/>
          </w:r>
          <w:r>
            <w:instrText xml:space="preserve"> PAGEREF _Toc839538672 </w:instrText>
          </w:r>
          <w:r>
            <w:fldChar w:fldCharType="separate"/>
          </w:r>
          <w:r>
            <w:t>97</w:t>
          </w:r>
          <w:r>
            <w:fldChar w:fldCharType="end"/>
          </w:r>
          <w:r>
            <w:fldChar w:fldCharType="end"/>
          </w:r>
        </w:p>
        <w:p>
          <w:pPr>
            <w:pStyle w:val="26"/>
            <w:tabs>
              <w:tab w:val="right" w:leader="dot" w:pos="8310"/>
            </w:tabs>
          </w:pPr>
          <w:r>
            <w:fldChar w:fldCharType="begin"/>
          </w:r>
          <w:r>
            <w:instrText xml:space="preserve"> HYPERLINK \l _Toc565841619 </w:instrText>
          </w:r>
          <w:r>
            <w:fldChar w:fldCharType="separate"/>
          </w:r>
          <w:r>
            <w:rPr>
              <w:rFonts w:hint="eastAsia" w:ascii="Times New Roman" w:hAnsi="Times New Roman"/>
              <w:highlight w:val="none"/>
            </w:rPr>
            <w:t>四</w:t>
          </w:r>
          <w:r>
            <w:rPr>
              <w:rFonts w:ascii="Times New Roman" w:hAnsi="Times New Roman"/>
              <w:highlight w:val="none"/>
            </w:rPr>
            <w:t>、相关服务计划</w:t>
          </w:r>
          <w:r>
            <w:tab/>
          </w:r>
          <w:r>
            <w:fldChar w:fldCharType="begin"/>
          </w:r>
          <w:r>
            <w:instrText xml:space="preserve"> PAGEREF _Toc565841619 </w:instrText>
          </w:r>
          <w:r>
            <w:fldChar w:fldCharType="separate"/>
          </w:r>
          <w:r>
            <w:t>98</w:t>
          </w:r>
          <w:r>
            <w:fldChar w:fldCharType="end"/>
          </w:r>
          <w:r>
            <w:fldChar w:fldCharType="end"/>
          </w:r>
        </w:p>
        <w:p>
          <w:pPr>
            <w:pStyle w:val="26"/>
            <w:tabs>
              <w:tab w:val="right" w:leader="dot" w:pos="8310"/>
            </w:tabs>
          </w:pPr>
          <w:r>
            <w:fldChar w:fldCharType="begin"/>
          </w:r>
          <w:r>
            <w:instrText xml:space="preserve"> HYPERLINK \l _Toc1340653370 </w:instrText>
          </w:r>
          <w:r>
            <w:fldChar w:fldCharType="separate"/>
          </w:r>
          <w:r>
            <w:rPr>
              <w:rFonts w:hint="eastAsia" w:ascii="Times New Roman" w:hAnsi="Times New Roman"/>
              <w:highlight w:val="none"/>
            </w:rPr>
            <w:t>五</w:t>
          </w:r>
          <w:r>
            <w:rPr>
              <w:rFonts w:ascii="Times New Roman" w:hAnsi="Times New Roman"/>
              <w:highlight w:val="none"/>
            </w:rPr>
            <w:t>、其他资料</w:t>
          </w:r>
          <w:r>
            <w:tab/>
          </w:r>
          <w:r>
            <w:fldChar w:fldCharType="begin"/>
          </w:r>
          <w:r>
            <w:instrText xml:space="preserve"> PAGEREF _Toc1340653370 </w:instrText>
          </w:r>
          <w:r>
            <w:fldChar w:fldCharType="separate"/>
          </w:r>
          <w:r>
            <w:t>99</w:t>
          </w:r>
          <w:r>
            <w:fldChar w:fldCharType="end"/>
          </w:r>
          <w:r>
            <w:fldChar w:fldCharType="end"/>
          </w:r>
        </w:p>
        <w:p>
          <w:r>
            <w:fldChar w:fldCharType="end"/>
          </w:r>
        </w:p>
      </w:sdtContent>
    </w:sdt>
    <w:p>
      <w:pPr>
        <w:pStyle w:val="22"/>
        <w:tabs>
          <w:tab w:val="right" w:leader="dot" w:pos="8630"/>
        </w:tabs>
        <w:spacing w:line="360" w:lineRule="auto"/>
        <w:jc w:val="distribute"/>
        <w:outlineLvl w:val="0"/>
        <w:rPr>
          <w:rStyle w:val="33"/>
          <w:rFonts w:hint="eastAsia" w:ascii="方正黑体_GBK" w:hAnsi="方正黑体_GBK" w:eastAsia="方正黑体_GBK" w:cs="方正黑体_GBK"/>
          <w:sz w:val="24"/>
          <w:szCs w:val="24"/>
          <w:highlight w:val="none"/>
        </w:rPr>
        <w:sectPr>
          <w:pgSz w:w="11910" w:h="16840"/>
          <w:pgMar w:top="1440" w:right="1800" w:bottom="1440" w:left="1800" w:header="880" w:footer="1180" w:gutter="0"/>
          <w:cols w:space="720" w:num="1"/>
        </w:sectPr>
      </w:pPr>
      <w:bookmarkStart w:id="5" w:name="_Toc685616919"/>
      <w:r>
        <w:rPr>
          <w:rFonts w:hint="eastAsia" w:ascii="方正黑体_GBK" w:hAnsi="方正黑体_GBK" w:eastAsia="方正黑体_GBK" w:cs="方正黑体_GBK"/>
          <w:sz w:val="24"/>
          <w:szCs w:val="24"/>
          <w:highlight w:val="none"/>
        </w:rPr>
        <w:fldChar w:fldCharType="begin"/>
      </w:r>
      <w:r>
        <w:rPr>
          <w:rFonts w:hint="eastAsia" w:ascii="方正黑体_GBK" w:hAnsi="方正黑体_GBK" w:eastAsia="方正黑体_GBK" w:cs="方正黑体_GBK"/>
          <w:sz w:val="24"/>
          <w:szCs w:val="24"/>
          <w:highlight w:val="none"/>
        </w:rPr>
        <w:instrText xml:space="preserve"> TOC \o "1-1" \h \z \u </w:instrText>
      </w:r>
      <w:r>
        <w:rPr>
          <w:rFonts w:hint="eastAsia" w:ascii="方正黑体_GBK" w:hAnsi="方正黑体_GBK" w:eastAsia="方正黑体_GBK" w:cs="方正黑体_GBK"/>
          <w:kern w:val="2"/>
          <w:sz w:val="24"/>
          <w:szCs w:val="24"/>
          <w:highlight w:val="none"/>
        </w:rPr>
        <w:fldChar w:fldCharType="separate"/>
      </w:r>
      <w:bookmarkEnd w:id="5"/>
    </w:p>
    <w:p>
      <w:pPr>
        <w:pStyle w:val="2"/>
        <w:spacing w:line="240" w:lineRule="auto"/>
        <w:jc w:val="center"/>
        <w:rPr>
          <w:color w:val="000000"/>
          <w:highlight w:val="none"/>
        </w:rPr>
      </w:pPr>
      <w:bookmarkStart w:id="6" w:name="_Toc1416407747"/>
      <w:r>
        <w:rPr>
          <w:rFonts w:hint="eastAsia" w:ascii="方正黑体_GBK" w:hAnsi="方正黑体_GBK" w:eastAsia="方正黑体_GBK" w:cs="方正黑体_GBK"/>
          <w:sz w:val="24"/>
          <w:szCs w:val="24"/>
          <w:highlight w:val="none"/>
        </w:rPr>
        <w:fldChar w:fldCharType="end"/>
      </w:r>
      <w:bookmarkStart w:id="7" w:name="_Toc79054273"/>
      <w:r>
        <w:rPr>
          <w:color w:val="000000"/>
          <w:highlight w:val="none"/>
        </w:rPr>
        <w:t>第一章招标公告（适用于公开招标）</w:t>
      </w:r>
      <w:bookmarkEnd w:id="6"/>
      <w:bookmarkEnd w:id="7"/>
    </w:p>
    <w:p>
      <w:pPr>
        <w:spacing w:line="440" w:lineRule="exact"/>
        <w:jc w:val="center"/>
        <w:rPr>
          <w:rFonts w:ascii="Times New Roman" w:hAnsi="Times New Roman" w:eastAsia="黑体"/>
          <w:color w:val="000000"/>
          <w:sz w:val="28"/>
          <w:highlight w:val="none"/>
        </w:rPr>
      </w:pPr>
      <w:r>
        <w:rPr>
          <w:rFonts w:ascii="Times New Roman" w:hAnsi="Times New Roman" w:eastAsia="黑体"/>
          <w:sz w:val="28"/>
          <w:szCs w:val="28"/>
          <w:highlight w:val="none"/>
          <w:u w:val="single"/>
        </w:rPr>
        <w:t xml:space="preserve">        </w:t>
      </w:r>
      <w:r>
        <w:rPr>
          <w:rFonts w:ascii="Times New Roman" w:hAnsi="Times New Roman" w:eastAsia="黑体"/>
          <w:sz w:val="28"/>
          <w:szCs w:val="28"/>
          <w:highlight w:val="none"/>
        </w:rPr>
        <w:t>（项目名称）</w:t>
      </w:r>
      <w:r>
        <w:rPr>
          <w:rFonts w:ascii="Times New Roman" w:hAnsi="Times New Roman" w:eastAsia="黑体"/>
          <w:sz w:val="28"/>
          <w:szCs w:val="28"/>
          <w:highlight w:val="none"/>
          <w:u w:val="single"/>
        </w:rPr>
        <w:t xml:space="preserve">        </w:t>
      </w:r>
      <w:r>
        <w:rPr>
          <w:rFonts w:ascii="Times New Roman" w:hAnsi="Times New Roman" w:eastAsia="黑体"/>
          <w:sz w:val="28"/>
          <w:szCs w:val="28"/>
          <w:highlight w:val="none"/>
        </w:rPr>
        <w:t>（</w:t>
      </w:r>
      <w:r>
        <w:rPr>
          <w:rFonts w:hint="eastAsia" w:ascii="Times New Roman" w:hAnsi="Times New Roman" w:eastAsia="黑体"/>
          <w:sz w:val="28"/>
          <w:szCs w:val="28"/>
          <w:highlight w:val="none"/>
          <w:lang w:val="en-US" w:eastAsia="zh-CN"/>
        </w:rPr>
        <w:t>标段</w:t>
      </w:r>
      <w:r>
        <w:rPr>
          <w:rFonts w:ascii="Times New Roman" w:hAnsi="Times New Roman" w:eastAsia="黑体"/>
          <w:sz w:val="28"/>
          <w:szCs w:val="28"/>
          <w:highlight w:val="none"/>
        </w:rPr>
        <w:t>名称）</w:t>
      </w:r>
      <w:r>
        <w:rPr>
          <w:rFonts w:ascii="Times New Roman" w:hAnsi="Times New Roman" w:eastAsia="黑体"/>
          <w:sz w:val="28"/>
          <w:highlight w:val="none"/>
        </w:rPr>
        <w:t>招标公</w:t>
      </w:r>
      <w:r>
        <w:rPr>
          <w:rFonts w:ascii="Times New Roman" w:hAnsi="Times New Roman" w:eastAsia="黑体"/>
          <w:color w:val="000000"/>
          <w:sz w:val="28"/>
          <w:highlight w:val="none"/>
        </w:rPr>
        <w:t>告</w:t>
      </w:r>
    </w:p>
    <w:p>
      <w:pPr>
        <w:pStyle w:val="3"/>
        <w:tabs>
          <w:tab w:val="left" w:pos="4205"/>
        </w:tabs>
        <w:spacing w:before="143" w:beforeLines="50" w:after="143" w:afterLines="50" w:line="440" w:lineRule="exact"/>
        <w:rPr>
          <w:rFonts w:ascii="Times New Roman" w:hAnsi="Times New Roman"/>
          <w:color w:val="000000"/>
          <w:highlight w:val="none"/>
        </w:rPr>
      </w:pPr>
      <w:bookmarkStart w:id="8" w:name="_Toc609296234"/>
      <w:r>
        <w:rPr>
          <w:rFonts w:hint="eastAsia" w:ascii="黑体" w:hAnsi="黑体" w:cs="Calibri"/>
          <w:b w:val="0"/>
          <w:color w:val="000000"/>
          <w:szCs w:val="32"/>
          <w:highlight w:val="none"/>
        </w:rPr>
        <w:t>1. 招标条件</w:t>
      </w:r>
      <w:bookmarkEnd w:id="8"/>
      <w:r>
        <w:rPr>
          <w:rFonts w:ascii="Times New Roman" w:hAnsi="Times New Roman"/>
          <w:color w:val="000000"/>
          <w:highlight w:val="none"/>
        </w:rPr>
        <w:tab/>
      </w:r>
    </w:p>
    <w:p>
      <w:pPr>
        <w:spacing w:line="400" w:lineRule="exact"/>
        <w:ind w:firstLine="420" w:firstLineChars="200"/>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本招标项目</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color w:val="000000"/>
          <w:highlight w:val="none"/>
        </w:rPr>
        <w:t>（项目名称）招标人为</w:t>
      </w:r>
      <w:r>
        <w:rPr>
          <w:rFonts w:hint="eastAsia" w:ascii="仿宋_GB2312" w:hAnsi="仿宋_GB2312" w:eastAsia="仿宋_GB2312" w:cs="仿宋_GB2312"/>
          <w:color w:val="000000"/>
          <w:highlight w:val="none"/>
          <w:u w:val="single"/>
        </w:rPr>
        <w:t xml:space="preserve">       </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color w:val="000000"/>
          <w:highlight w:val="none"/>
        </w:rPr>
        <w:t>，招标项目资金来自</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color w:val="000000"/>
          <w:highlight w:val="none"/>
        </w:rPr>
        <w:t>（资金来源），出资比例为</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color w:val="000000"/>
          <w:highlight w:val="none"/>
        </w:rPr>
        <w:t>。该项目已具备招标条件，现对</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color w:val="000000"/>
          <w:highlight w:val="none"/>
        </w:rPr>
        <w:t>（材料名称）采购进行公开招标。</w:t>
      </w:r>
    </w:p>
    <w:p>
      <w:pPr>
        <w:pStyle w:val="3"/>
        <w:spacing w:before="143" w:beforeLines="50" w:after="143" w:afterLines="50" w:line="440" w:lineRule="exact"/>
        <w:rPr>
          <w:rFonts w:hint="eastAsia" w:ascii="黑体" w:hAnsi="黑体" w:cs="Calibri"/>
          <w:b w:val="0"/>
          <w:color w:val="000000"/>
          <w:szCs w:val="32"/>
          <w:highlight w:val="none"/>
        </w:rPr>
      </w:pPr>
      <w:bookmarkStart w:id="9" w:name="_Toc824289631"/>
      <w:r>
        <w:rPr>
          <w:rFonts w:hint="eastAsia" w:ascii="黑体" w:hAnsi="黑体" w:cs="Calibri"/>
          <w:b w:val="0"/>
          <w:color w:val="000000"/>
          <w:szCs w:val="32"/>
          <w:highlight w:val="none"/>
        </w:rPr>
        <w:t>2. 项目概况与招标范围</w:t>
      </w:r>
      <w:bookmarkEnd w:id="9"/>
    </w:p>
    <w:p>
      <w:pPr>
        <w:spacing w:line="400" w:lineRule="exact"/>
        <w:ind w:firstLine="420"/>
        <w:rPr>
          <w:rFonts w:hint="eastAsia" w:ascii="仿宋_GB2312" w:hAnsi="仿宋_GB2312" w:eastAsia="仿宋_GB2312" w:cs="仿宋_GB2312"/>
          <w:color w:val="000000"/>
          <w:highlight w:val="none"/>
        </w:rPr>
      </w:pP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（说明工程建设项目的建设地点、规模、建设工期、标段划分和本次招标采购材料的名称、数量、技术规格、交货地点、交货期等）</w:t>
      </w:r>
      <w:r>
        <w:rPr>
          <w:rFonts w:hint="eastAsia" w:ascii="仿宋_GB2312" w:hAnsi="仿宋_GB2312" w:eastAsia="仿宋_GB2312" w:cs="仿宋_GB2312"/>
          <w:color w:val="000000"/>
          <w:highlight w:val="none"/>
        </w:rPr>
        <w:t>。</w:t>
      </w:r>
    </w:p>
    <w:p>
      <w:pPr>
        <w:pStyle w:val="3"/>
        <w:spacing w:before="143" w:beforeLines="50" w:after="143" w:afterLines="50" w:line="440" w:lineRule="exact"/>
        <w:rPr>
          <w:rFonts w:hint="eastAsia" w:ascii="黑体" w:hAnsi="黑体" w:cs="Calibri"/>
          <w:b w:val="0"/>
          <w:color w:val="000000"/>
          <w:szCs w:val="32"/>
          <w:highlight w:val="none"/>
        </w:rPr>
      </w:pPr>
      <w:bookmarkStart w:id="10" w:name="_Toc73835126"/>
      <w:r>
        <w:rPr>
          <w:rFonts w:hint="eastAsia" w:ascii="黑体" w:hAnsi="黑体" w:cs="Calibri"/>
          <w:b w:val="0"/>
          <w:color w:val="000000"/>
          <w:szCs w:val="32"/>
          <w:highlight w:val="none"/>
        </w:rPr>
        <w:t>3. 投标人资格要求</w:t>
      </w:r>
      <w:bookmarkEnd w:id="10"/>
    </w:p>
    <w:p>
      <w:pPr>
        <w:spacing w:line="400" w:lineRule="exact"/>
        <w:ind w:firstLine="42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rPr>
        <w:t>3.1 本次招标要求投标人须具备</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资质、</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业绩，并具有与本招标项目相应的供货能力。</w:t>
      </w:r>
    </w:p>
    <w:p>
      <w:pPr>
        <w:spacing w:line="400" w:lineRule="exact"/>
        <w:ind w:firstLine="42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rPr>
        <w:t>3.</w:t>
      </w:r>
      <w:r>
        <w:rPr>
          <w:rFonts w:hint="eastAsia" w:ascii="仿宋_GB2312" w:hAnsi="仿宋_GB2312" w:eastAsia="仿宋_GB2312" w:cs="仿宋_GB2312"/>
          <w:highlight w:val="none"/>
          <w:lang w:val="en-US" w:eastAsia="zh-CN"/>
        </w:rPr>
        <w:t>2</w:t>
      </w:r>
      <w:r>
        <w:rPr>
          <w:rFonts w:hint="eastAsia" w:ascii="仿宋_GB2312" w:hAnsi="仿宋_GB2312" w:eastAsia="仿宋_GB2312" w:cs="仿宋_GB2312"/>
          <w:highlight w:val="none"/>
        </w:rPr>
        <w:t xml:space="preserve"> 本次招标</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（接受或不接受）联合体投标。联合体投标的，应满足下列要求：</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w:t>
      </w:r>
    </w:p>
    <w:p>
      <w:pPr>
        <w:spacing w:line="400" w:lineRule="exact"/>
        <w:ind w:firstLine="42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rPr>
        <w:t>3.</w:t>
      </w:r>
      <w:r>
        <w:rPr>
          <w:rFonts w:hint="eastAsia" w:ascii="仿宋_GB2312" w:hAnsi="仿宋_GB2312" w:eastAsia="仿宋_GB2312" w:cs="仿宋_GB2312"/>
          <w:highlight w:val="none"/>
          <w:lang w:val="en-US" w:eastAsia="zh-CN"/>
        </w:rPr>
        <w:t>3</w:t>
      </w:r>
      <w:r>
        <w:rPr>
          <w:rFonts w:hint="eastAsia" w:ascii="仿宋_GB2312" w:hAnsi="仿宋_GB2312" w:eastAsia="仿宋_GB2312" w:cs="仿宋_GB2312"/>
          <w:highlight w:val="none"/>
        </w:rPr>
        <w:t xml:space="preserve"> 一个制造商对同一品牌同一型号的材料，仅能委托一个代理商参加投标。</w:t>
      </w:r>
    </w:p>
    <w:p>
      <w:pPr>
        <w:pStyle w:val="3"/>
        <w:spacing w:before="120" w:beforeLines="-2147483648" w:after="120" w:afterLines="-2147483648" w:line="440" w:lineRule="exact"/>
        <w:jc w:val="both"/>
        <w:rPr>
          <w:rFonts w:hint="eastAsia" w:ascii="黑体" w:hAnsi="黑体" w:eastAsia="黑体" w:cs="Calibri"/>
          <w:b w:val="0"/>
          <w:bCs w:val="0"/>
          <w:szCs w:val="32"/>
          <w:highlight w:val="none"/>
        </w:rPr>
      </w:pPr>
      <w:bookmarkStart w:id="11" w:name="_Toc491035980"/>
      <w:r>
        <w:rPr>
          <w:rFonts w:hint="eastAsia" w:ascii="黑体" w:hAnsi="黑体" w:eastAsia="黑体" w:cs="Calibri"/>
          <w:b w:val="0"/>
          <w:bCs w:val="0"/>
          <w:szCs w:val="32"/>
          <w:highlight w:val="none"/>
        </w:rPr>
        <w:t>4. 关注项目</w:t>
      </w:r>
      <w:bookmarkEnd w:id="11"/>
    </w:p>
    <w:p>
      <w:pPr>
        <w:tabs>
          <w:tab w:val="left" w:pos="490"/>
        </w:tabs>
        <w:spacing w:line="440" w:lineRule="exact"/>
        <w:ind w:firstLine="420" w:firstLineChars="200"/>
        <w:rPr>
          <w:rStyle w:val="60"/>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kern w:val="0"/>
          <w:szCs w:val="21"/>
          <w:highlight w:val="none"/>
        </w:rPr>
        <w:t>有意参加本项目的投标人，请于</w:t>
      </w:r>
      <w:r>
        <w:rPr>
          <w:rFonts w:hint="eastAsia" w:ascii="仿宋_GB2312" w:hAnsi="仿宋_GB2312" w:eastAsia="仿宋_GB2312" w:cs="仿宋_GB2312"/>
          <w:kern w:val="0"/>
          <w:szCs w:val="21"/>
          <w:highlight w:val="none"/>
          <w:u w:val="single"/>
        </w:rPr>
        <w:t xml:space="preserve">      </w:t>
      </w:r>
      <w:r>
        <w:rPr>
          <w:rFonts w:hint="eastAsia" w:ascii="仿宋_GB2312" w:hAnsi="仿宋_GB2312" w:eastAsia="仿宋_GB2312" w:cs="仿宋_GB2312"/>
          <w:kern w:val="0"/>
          <w:szCs w:val="21"/>
          <w:highlight w:val="none"/>
        </w:rPr>
        <w:t>年</w:t>
      </w:r>
      <w:r>
        <w:rPr>
          <w:rFonts w:hint="eastAsia" w:ascii="仿宋_GB2312" w:hAnsi="仿宋_GB2312" w:eastAsia="仿宋_GB2312" w:cs="仿宋_GB2312"/>
          <w:kern w:val="0"/>
          <w:szCs w:val="21"/>
          <w:highlight w:val="none"/>
          <w:u w:val="single"/>
        </w:rPr>
        <w:t xml:space="preserve">  </w:t>
      </w:r>
      <w:r>
        <w:rPr>
          <w:rFonts w:hint="eastAsia" w:ascii="仿宋_GB2312" w:hAnsi="仿宋_GB2312" w:eastAsia="仿宋_GB2312" w:cs="仿宋_GB2312"/>
          <w:kern w:val="0"/>
          <w:szCs w:val="21"/>
          <w:highlight w:val="none"/>
        </w:rPr>
        <w:t>月</w:t>
      </w:r>
      <w:r>
        <w:rPr>
          <w:rFonts w:hint="eastAsia" w:ascii="仿宋_GB2312" w:hAnsi="仿宋_GB2312" w:eastAsia="仿宋_GB2312" w:cs="仿宋_GB2312"/>
          <w:kern w:val="0"/>
          <w:szCs w:val="21"/>
          <w:highlight w:val="none"/>
          <w:u w:val="single"/>
        </w:rPr>
        <w:t xml:space="preserve">   </w:t>
      </w:r>
      <w:r>
        <w:rPr>
          <w:rFonts w:hint="eastAsia" w:ascii="仿宋_GB2312" w:hAnsi="仿宋_GB2312" w:eastAsia="仿宋_GB2312" w:cs="仿宋_GB2312"/>
          <w:kern w:val="0"/>
          <w:szCs w:val="21"/>
          <w:highlight w:val="none"/>
        </w:rPr>
        <w:t>日至</w:t>
      </w:r>
      <w:r>
        <w:rPr>
          <w:rFonts w:hint="eastAsia" w:ascii="仿宋_GB2312" w:hAnsi="仿宋_GB2312" w:eastAsia="仿宋_GB2312" w:cs="仿宋_GB2312"/>
          <w:kern w:val="0"/>
          <w:szCs w:val="21"/>
          <w:highlight w:val="none"/>
          <w:u w:val="single"/>
        </w:rPr>
        <w:t xml:space="preserve">   </w:t>
      </w:r>
      <w:r>
        <w:rPr>
          <w:rFonts w:hint="eastAsia" w:ascii="仿宋_GB2312" w:hAnsi="仿宋_GB2312" w:eastAsia="仿宋_GB2312" w:cs="仿宋_GB2312"/>
          <w:kern w:val="0"/>
          <w:szCs w:val="21"/>
          <w:highlight w:val="none"/>
        </w:rPr>
        <w:t>年</w:t>
      </w:r>
      <w:r>
        <w:rPr>
          <w:rFonts w:hint="eastAsia" w:ascii="仿宋_GB2312" w:hAnsi="仿宋_GB2312" w:eastAsia="仿宋_GB2312" w:cs="仿宋_GB2312"/>
          <w:kern w:val="0"/>
          <w:szCs w:val="21"/>
          <w:highlight w:val="none"/>
          <w:u w:val="single"/>
        </w:rPr>
        <w:t xml:space="preserve">  </w:t>
      </w:r>
      <w:r>
        <w:rPr>
          <w:rFonts w:hint="eastAsia" w:ascii="仿宋_GB2312" w:hAnsi="仿宋_GB2312" w:eastAsia="仿宋_GB2312" w:cs="仿宋_GB2312"/>
          <w:kern w:val="0"/>
          <w:szCs w:val="21"/>
          <w:highlight w:val="none"/>
        </w:rPr>
        <w:t>月</w:t>
      </w:r>
      <w:r>
        <w:rPr>
          <w:rFonts w:hint="eastAsia" w:ascii="仿宋_GB2312" w:hAnsi="仿宋_GB2312" w:eastAsia="仿宋_GB2312" w:cs="仿宋_GB2312"/>
          <w:kern w:val="0"/>
          <w:szCs w:val="21"/>
          <w:highlight w:val="none"/>
          <w:u w:val="single"/>
        </w:rPr>
        <w:t xml:space="preserve"> </w:t>
      </w:r>
      <w:r>
        <w:rPr>
          <w:rFonts w:hint="eastAsia" w:ascii="仿宋_GB2312" w:hAnsi="仿宋_GB2312" w:eastAsia="仿宋_GB2312" w:cs="仿宋_GB2312"/>
          <w:kern w:val="0"/>
          <w:szCs w:val="21"/>
          <w:highlight w:val="none"/>
          <w:u w:val="single"/>
          <w:lang w:val="en-US" w:eastAsia="zh-CN"/>
        </w:rPr>
        <w:t xml:space="preserve">  </w:t>
      </w:r>
      <w:r>
        <w:rPr>
          <w:rFonts w:hint="eastAsia" w:ascii="仿宋_GB2312" w:hAnsi="仿宋_GB2312" w:eastAsia="仿宋_GB2312" w:cs="仿宋_GB2312"/>
          <w:kern w:val="0"/>
          <w:szCs w:val="21"/>
          <w:highlight w:val="none"/>
        </w:rPr>
        <w:t>日，在</w:t>
      </w:r>
      <w:r>
        <w:rPr>
          <w:rFonts w:hint="eastAsia" w:ascii="仿宋_GB2312" w:hAnsi="仿宋_GB2312" w:eastAsia="仿宋_GB2312" w:cs="仿宋_GB2312"/>
          <w:kern w:val="0"/>
          <w:szCs w:val="21"/>
          <w:highlight w:val="none"/>
          <w:u w:val="single"/>
        </w:rPr>
        <w:t>西藏自治区公共资源交易平台（通过西藏自治区公共资源交易网登录，网址</w:t>
      </w:r>
      <w:r>
        <w:rPr>
          <w:rFonts w:hint="eastAsia" w:ascii="仿宋_GB2312" w:hAnsi="仿宋_GB2312" w:eastAsia="仿宋_GB2312" w:cs="仿宋_GB2312"/>
          <w:szCs w:val="21"/>
          <w:highlight w:val="none"/>
          <w:u w:val="single"/>
        </w:rPr>
        <w:t>：ggzy.xizang.gov.cn）</w:t>
      </w:r>
      <w:r>
        <w:rPr>
          <w:rFonts w:hint="eastAsia" w:ascii="仿宋_GB2312" w:hAnsi="仿宋_GB2312" w:eastAsia="仿宋_GB2312" w:cs="仿宋_GB2312"/>
          <w:kern w:val="0"/>
          <w:szCs w:val="21"/>
          <w:highlight w:val="none"/>
        </w:rPr>
        <w:t>关注项目。关注项目时需添加相关执业及从业人员并进行打印，打印后，将相关执业及从业人员编入投标文件中。</w:t>
      </w:r>
      <w:r>
        <w:rPr>
          <w:rFonts w:hint="eastAsia" w:ascii="仿宋_GB2312" w:hAnsi="仿宋_GB2312" w:eastAsia="仿宋_GB2312" w:cs="仿宋_GB2312"/>
          <w:bCs/>
          <w:snapToGrid w:val="0"/>
          <w:kern w:val="0"/>
          <w:szCs w:val="21"/>
          <w:highlight w:val="none"/>
          <w:lang w:val="en-US" w:eastAsia="zh-CN"/>
        </w:rPr>
        <w:t>首次登陆须持有</w:t>
      </w:r>
      <w:r>
        <w:rPr>
          <w:rFonts w:hint="eastAsia" w:ascii="仿宋_GB2312" w:hAnsi="仿宋_GB2312" w:eastAsia="仿宋_GB2312" w:cs="仿宋_GB2312"/>
          <w:bCs/>
          <w:snapToGrid w:val="0"/>
          <w:kern w:val="0"/>
          <w:szCs w:val="21"/>
          <w:highlight w:val="none"/>
          <w:lang w:eastAsia="zh-CN"/>
        </w:rPr>
        <w:t>西藏自治区公共资源交易平台</w:t>
      </w:r>
      <w:r>
        <w:rPr>
          <w:rFonts w:hint="eastAsia" w:ascii="仿宋_GB2312" w:hAnsi="仿宋_GB2312" w:eastAsia="仿宋_GB2312" w:cs="仿宋_GB2312"/>
          <w:bCs/>
          <w:snapToGrid w:val="0"/>
          <w:kern w:val="0"/>
          <w:szCs w:val="21"/>
          <w:highlight w:val="none"/>
          <w:lang w:val="en-US" w:eastAsia="zh-CN"/>
        </w:rPr>
        <w:t>兼容的数字证书并完成交易主体登记。</w:t>
      </w:r>
      <w:r>
        <w:rPr>
          <w:rFonts w:hint="eastAsia" w:ascii="仿宋_GB2312" w:hAnsi="仿宋_GB2312" w:eastAsia="仿宋_GB2312" w:cs="仿宋_GB2312"/>
          <w:bCs/>
          <w:snapToGrid w:val="0"/>
          <w:kern w:val="0"/>
          <w:szCs w:val="21"/>
          <w:highlight w:val="none"/>
        </w:rPr>
        <w:t>下述所称</w:t>
      </w:r>
      <w:r>
        <w:rPr>
          <w:rFonts w:hint="eastAsia" w:ascii="仿宋_GB2312" w:hAnsi="仿宋_GB2312" w:eastAsia="仿宋_GB2312" w:cs="仿宋_GB2312"/>
          <w:bCs/>
          <w:snapToGrid w:val="0"/>
          <w:kern w:val="0"/>
          <w:szCs w:val="21"/>
          <w:highlight w:val="none"/>
          <w:lang w:val="en-US" w:eastAsia="zh-CN"/>
        </w:rPr>
        <w:t>电子</w:t>
      </w:r>
      <w:r>
        <w:rPr>
          <w:rFonts w:hint="eastAsia" w:ascii="仿宋_GB2312" w:hAnsi="仿宋_GB2312" w:eastAsia="仿宋_GB2312" w:cs="仿宋_GB2312"/>
          <w:bCs/>
          <w:snapToGrid w:val="0"/>
          <w:kern w:val="0"/>
          <w:szCs w:val="21"/>
          <w:highlight w:val="none"/>
        </w:rPr>
        <w:t>交易</w:t>
      </w:r>
      <w:r>
        <w:rPr>
          <w:rFonts w:hint="eastAsia" w:ascii="仿宋_GB2312" w:hAnsi="仿宋_GB2312" w:eastAsia="仿宋_GB2312" w:cs="仿宋_GB2312"/>
          <w:bCs/>
          <w:snapToGrid w:val="0"/>
          <w:kern w:val="0"/>
          <w:szCs w:val="21"/>
          <w:highlight w:val="none"/>
          <w:lang w:val="en-US" w:eastAsia="zh-CN"/>
        </w:rPr>
        <w:t>系统</w:t>
      </w:r>
      <w:r>
        <w:rPr>
          <w:rFonts w:hint="eastAsia" w:ascii="仿宋_GB2312" w:hAnsi="仿宋_GB2312" w:eastAsia="仿宋_GB2312" w:cs="仿宋_GB2312"/>
          <w:bCs/>
          <w:snapToGrid w:val="0"/>
          <w:kern w:val="0"/>
          <w:szCs w:val="21"/>
          <w:highlight w:val="none"/>
        </w:rPr>
        <w:t>除特别说明外均指西藏自治区公共资源交易平台</w:t>
      </w:r>
      <w:r>
        <w:rPr>
          <w:rFonts w:hint="eastAsia" w:ascii="仿宋_GB2312" w:hAnsi="仿宋_GB2312" w:eastAsia="仿宋_GB2312" w:cs="仿宋_GB2312"/>
          <w:bCs/>
          <w:snapToGrid w:val="0"/>
          <w:kern w:val="0"/>
          <w:szCs w:val="21"/>
          <w:highlight w:val="none"/>
          <w:lang w:eastAsia="zh-CN"/>
        </w:rPr>
        <w:t>。</w:t>
      </w:r>
    </w:p>
    <w:p>
      <w:pPr>
        <w:pStyle w:val="3"/>
        <w:spacing w:before="120" w:beforeLines="-2147483648" w:after="120" w:afterLines="-2147483648" w:line="440" w:lineRule="exact"/>
        <w:rPr>
          <w:rFonts w:hint="eastAsia" w:ascii="黑体" w:hAnsi="黑体" w:cs="Calibri"/>
          <w:b w:val="0"/>
          <w:color w:val="000000"/>
          <w:szCs w:val="32"/>
          <w:highlight w:val="none"/>
        </w:rPr>
      </w:pPr>
      <w:bookmarkStart w:id="12" w:name="_Toc881316141"/>
      <w:r>
        <w:rPr>
          <w:rFonts w:hint="eastAsia" w:ascii="黑体" w:hAnsi="黑体" w:cs="Calibri"/>
          <w:b w:val="0"/>
          <w:color w:val="000000"/>
          <w:szCs w:val="32"/>
          <w:highlight w:val="none"/>
          <w:lang w:val="en-US" w:eastAsia="zh-CN"/>
        </w:rPr>
        <w:t>5</w:t>
      </w:r>
      <w:r>
        <w:rPr>
          <w:rFonts w:hint="eastAsia" w:ascii="黑体" w:hAnsi="黑体" w:cs="Calibri"/>
          <w:b w:val="0"/>
          <w:color w:val="000000"/>
          <w:szCs w:val="32"/>
          <w:highlight w:val="none"/>
        </w:rPr>
        <w:t>. 招标文件的获取</w:t>
      </w:r>
      <w:bookmarkEnd w:id="12"/>
    </w:p>
    <w:p>
      <w:pPr>
        <w:spacing w:line="400" w:lineRule="exact"/>
        <w:ind w:firstLine="420" w:firstLineChars="20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5</w:t>
      </w:r>
      <w:r>
        <w:rPr>
          <w:rFonts w:hint="eastAsia" w:ascii="仿宋_GB2312" w:hAnsi="仿宋_GB2312" w:eastAsia="仿宋_GB2312" w:cs="仿宋_GB2312"/>
          <w:highlight w:val="none"/>
        </w:rPr>
        <w:t>.1获取时间：</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年</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月</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日至</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年</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月</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日。</w:t>
      </w:r>
    </w:p>
    <w:p>
      <w:pPr>
        <w:spacing w:line="400" w:lineRule="exact"/>
        <w:ind w:firstLine="420" w:firstLineChars="20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5</w:t>
      </w:r>
      <w:r>
        <w:rPr>
          <w:rFonts w:hint="eastAsia" w:ascii="仿宋_GB2312" w:hAnsi="仿宋_GB2312" w:eastAsia="仿宋_GB2312" w:cs="仿宋_GB2312"/>
          <w:highlight w:val="none"/>
        </w:rPr>
        <w:t>.2获取方式：潜在投标人须登录</w:t>
      </w:r>
      <w:r>
        <w:rPr>
          <w:rFonts w:hint="eastAsia" w:ascii="仿宋_GB2312" w:hAnsi="仿宋_GB2312" w:eastAsia="仿宋_GB2312" w:cs="仿宋_GB2312"/>
          <w:b/>
          <w:highlight w:val="none"/>
          <w:u w:val="single"/>
        </w:rPr>
        <w:t>西藏自治区公共资源交易平台（通过西藏自治区公共资源交易网登陆，网址：ggzy.xizang.gov.cn）</w:t>
      </w:r>
      <w:r>
        <w:rPr>
          <w:rFonts w:hint="eastAsia" w:ascii="仿宋_GB2312" w:hAnsi="仿宋_GB2312" w:eastAsia="仿宋_GB2312" w:cs="仿宋_GB2312"/>
          <w:highlight w:val="none"/>
        </w:rPr>
        <w:t>（说明：电子交易系统或电子服务系统） 查阅招标文件。在</w:t>
      </w:r>
      <w:r>
        <w:rPr>
          <w:rFonts w:hint="eastAsia" w:ascii="仿宋_GB2312" w:hAnsi="仿宋_GB2312" w:eastAsia="仿宋_GB2312" w:cs="仿宋_GB2312"/>
          <w:b/>
          <w:highlight w:val="none"/>
          <w:u w:val="single"/>
        </w:rPr>
        <w:t>西藏自治区公共资源交易平台（http://218.206.180.154:8081/gb-web/#/login）（购买网址）</w:t>
      </w:r>
      <w:r>
        <w:rPr>
          <w:rFonts w:hint="eastAsia" w:ascii="仿宋_GB2312" w:hAnsi="仿宋_GB2312" w:eastAsia="仿宋_GB2312" w:cs="仿宋_GB2312"/>
          <w:highlight w:val="none"/>
          <w:lang w:eastAsia="zh-CN"/>
        </w:rPr>
        <w:t>获取招标文件</w:t>
      </w:r>
      <w:r>
        <w:rPr>
          <w:rFonts w:hint="eastAsia" w:ascii="仿宋_GB2312" w:hAnsi="仿宋_GB2312" w:eastAsia="仿宋_GB2312" w:cs="仿宋_GB2312"/>
          <w:highlight w:val="none"/>
        </w:rPr>
        <w:t>。</w:t>
      </w:r>
    </w:p>
    <w:p>
      <w:pPr>
        <w:pStyle w:val="3"/>
        <w:spacing w:before="120" w:beforeLines="-2147483648" w:after="120" w:afterLines="-2147483648" w:line="440" w:lineRule="exact"/>
        <w:rPr>
          <w:rFonts w:hint="eastAsia" w:ascii="黑体" w:hAnsi="黑体" w:cs="Calibri"/>
          <w:b w:val="0"/>
          <w:color w:val="000000"/>
          <w:szCs w:val="32"/>
          <w:highlight w:val="none"/>
        </w:rPr>
      </w:pPr>
      <w:bookmarkStart w:id="13" w:name="_Toc1429618905"/>
      <w:r>
        <w:rPr>
          <w:rFonts w:hint="eastAsia" w:ascii="黑体" w:hAnsi="黑体" w:cs="Calibri"/>
          <w:b w:val="0"/>
          <w:color w:val="000000"/>
          <w:szCs w:val="32"/>
          <w:highlight w:val="none"/>
          <w:lang w:val="en-US" w:eastAsia="zh-CN"/>
        </w:rPr>
        <w:t>6</w:t>
      </w:r>
      <w:r>
        <w:rPr>
          <w:rFonts w:hint="eastAsia" w:ascii="黑体" w:hAnsi="黑体" w:cs="Calibri"/>
          <w:b w:val="0"/>
          <w:color w:val="000000"/>
          <w:szCs w:val="32"/>
          <w:highlight w:val="none"/>
        </w:rPr>
        <w:t>. 投标文件的递交</w:t>
      </w:r>
      <w:bookmarkEnd w:id="13"/>
    </w:p>
    <w:p>
      <w:pPr>
        <w:tabs>
          <w:tab w:val="left" w:pos="360"/>
        </w:tabs>
        <w:spacing w:line="400" w:lineRule="exact"/>
        <w:ind w:firstLine="42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6</w:t>
      </w:r>
      <w:r>
        <w:rPr>
          <w:rFonts w:hint="eastAsia" w:ascii="仿宋_GB2312" w:hAnsi="仿宋_GB2312" w:eastAsia="仿宋_GB2312" w:cs="仿宋_GB2312"/>
          <w:highlight w:val="none"/>
        </w:rPr>
        <w:t>.1投标文件递交的截止时间（投标截止时间，下同）为</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年</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月</w:t>
      </w:r>
    </w:p>
    <w:p>
      <w:pPr>
        <w:tabs>
          <w:tab w:val="left" w:pos="360"/>
        </w:tabs>
        <w:spacing w:line="40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日</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时</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分，投标人应在截止时间前通过</w:t>
      </w:r>
      <w:r>
        <w:rPr>
          <w:rFonts w:hint="eastAsia" w:ascii="仿宋_GB2312" w:hAnsi="仿宋_GB2312" w:eastAsia="仿宋_GB2312" w:cs="仿宋_GB2312"/>
          <w:b/>
          <w:i w:val="0"/>
          <w:iCs w:val="0"/>
          <w:snapToGrid/>
          <w:kern w:val="2"/>
          <w:szCs w:val="22"/>
          <w:highlight w:val="none"/>
          <w:u w:val="single"/>
        </w:rPr>
        <w:t>西藏自治区公共资源交易平台（通过西藏自治区公共资源交易网登陆，网址：</w:t>
      </w:r>
      <w:r>
        <w:rPr>
          <w:rFonts w:hint="eastAsia" w:ascii="仿宋_GB2312" w:hAnsi="仿宋_GB2312" w:eastAsia="仿宋_GB2312" w:cs="仿宋_GB2312"/>
          <w:b/>
          <w:i w:val="0"/>
          <w:iCs w:val="0"/>
          <w:snapToGrid/>
          <w:kern w:val="2"/>
          <w:szCs w:val="22"/>
          <w:highlight w:val="none"/>
          <w:u w:val="single"/>
          <w:lang w:val="en-US"/>
        </w:rPr>
        <w:t>ggzy.xizang.gov.cn</w:t>
      </w:r>
      <w:r>
        <w:rPr>
          <w:rFonts w:hint="eastAsia" w:ascii="仿宋_GB2312" w:hAnsi="仿宋_GB2312" w:eastAsia="仿宋_GB2312" w:cs="仿宋_GB2312"/>
          <w:b/>
          <w:i w:val="0"/>
          <w:iCs w:val="0"/>
          <w:snapToGrid/>
          <w:kern w:val="2"/>
          <w:szCs w:val="22"/>
          <w:highlight w:val="none"/>
          <w:u w:val="single"/>
        </w:rPr>
        <w:t>）</w:t>
      </w:r>
      <w:r>
        <w:rPr>
          <w:rFonts w:hint="eastAsia" w:ascii="仿宋_GB2312" w:hAnsi="仿宋_GB2312" w:eastAsia="仿宋_GB2312" w:cs="仿宋_GB2312"/>
          <w:szCs w:val="21"/>
          <w:highlight w:val="none"/>
          <w:u w:val="single"/>
        </w:rPr>
        <w:t xml:space="preserve"> </w:t>
      </w:r>
      <w:r>
        <w:rPr>
          <w:rFonts w:hint="eastAsia" w:ascii="仿宋_GB2312" w:hAnsi="仿宋_GB2312" w:eastAsia="仿宋_GB2312" w:cs="仿宋_GB2312"/>
          <w:szCs w:val="21"/>
          <w:highlight w:val="none"/>
        </w:rPr>
        <w:t>（电子交易系统）</w:t>
      </w:r>
      <w:r>
        <w:rPr>
          <w:rFonts w:hint="eastAsia" w:ascii="仿宋_GB2312" w:hAnsi="仿宋_GB2312" w:eastAsia="仿宋_GB2312" w:cs="仿宋_GB2312"/>
          <w:highlight w:val="none"/>
        </w:rPr>
        <w:t>递交电子投标文件。</w:t>
      </w:r>
    </w:p>
    <w:p>
      <w:pPr>
        <w:spacing w:line="400" w:lineRule="exact"/>
        <w:ind w:firstLine="420" w:firstLineChars="20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6</w:t>
      </w:r>
      <w:r>
        <w:rPr>
          <w:rFonts w:hint="eastAsia" w:ascii="仿宋_GB2312" w:hAnsi="仿宋_GB2312" w:eastAsia="仿宋_GB2312" w:cs="仿宋_GB2312"/>
          <w:highlight w:val="none"/>
        </w:rPr>
        <w:t>.2 逾期送达的投标文件，电子招标投标交易平台将予以拒收。</w:t>
      </w:r>
    </w:p>
    <w:p>
      <w:pPr>
        <w:pStyle w:val="3"/>
        <w:keepNext w:val="0"/>
        <w:keepLines w:val="0"/>
        <w:spacing w:before="120" w:beforeLines="-2147483648" w:after="120" w:afterLines="-2147483648" w:line="440" w:lineRule="exact"/>
        <w:jc w:val="both"/>
        <w:outlineLvl w:val="9"/>
        <w:rPr>
          <w:rFonts w:hint="eastAsia" w:ascii="黑体" w:hAnsi="黑体" w:eastAsia="黑体" w:cs="Calibri"/>
          <w:b w:val="0"/>
          <w:color w:val="000000"/>
          <w:kern w:val="2"/>
          <w:sz w:val="32"/>
          <w:szCs w:val="32"/>
          <w:highlight w:val="none"/>
        </w:rPr>
      </w:pPr>
      <w:bookmarkStart w:id="14" w:name="_Toc533748495"/>
      <w:bookmarkStart w:id="15" w:name="_Toc904060849"/>
      <w:bookmarkStart w:id="16" w:name="_Toc19507"/>
      <w:bookmarkStart w:id="17" w:name="_Toc34984314"/>
      <w:bookmarkStart w:id="18" w:name="_Toc15977298"/>
      <w:r>
        <w:rPr>
          <w:rFonts w:hint="eastAsia" w:ascii="黑体" w:hAnsi="黑体" w:cs="Calibri"/>
          <w:b w:val="0"/>
          <w:color w:val="000000"/>
          <w:szCs w:val="32"/>
          <w:highlight w:val="none"/>
          <w:lang w:val="en-US" w:eastAsia="zh-CN"/>
        </w:rPr>
        <w:t>7</w:t>
      </w:r>
      <w:r>
        <w:rPr>
          <w:rFonts w:hint="eastAsia" w:ascii="黑体" w:hAnsi="黑体" w:cs="Calibri"/>
          <w:b w:val="0"/>
          <w:color w:val="000000"/>
          <w:kern w:val="2"/>
          <w:szCs w:val="32"/>
          <w:highlight w:val="none"/>
        </w:rPr>
        <w:t>.开标时间及地点</w:t>
      </w:r>
      <w:bookmarkEnd w:id="14"/>
      <w:bookmarkEnd w:id="15"/>
      <w:bookmarkEnd w:id="16"/>
      <w:bookmarkEnd w:id="17"/>
      <w:bookmarkEnd w:id="18"/>
    </w:p>
    <w:p>
      <w:pPr>
        <w:spacing w:line="400" w:lineRule="exact"/>
        <w:ind w:firstLine="420" w:firstLineChars="200"/>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lang w:val="en-US" w:eastAsia="zh-CN"/>
        </w:rPr>
        <w:t>7</w:t>
      </w:r>
      <w:r>
        <w:rPr>
          <w:rFonts w:hint="eastAsia" w:ascii="仿宋_GB2312" w:hAnsi="仿宋_GB2312" w:eastAsia="仿宋_GB2312" w:cs="仿宋_GB2312"/>
          <w:szCs w:val="21"/>
          <w:highlight w:val="none"/>
        </w:rPr>
        <w:t>.1开标时间：同投标截止时间。</w:t>
      </w:r>
    </w:p>
    <w:p>
      <w:pPr>
        <w:spacing w:line="400" w:lineRule="exact"/>
        <w:ind w:firstLine="420" w:firstLineChars="200"/>
        <w:jc w:val="left"/>
        <w:rPr>
          <w:rFonts w:hint="eastAsia" w:ascii="仿宋_GB2312" w:hAnsi="仿宋_GB2312" w:eastAsia="仿宋_GB2312" w:cs="仿宋_GB2312"/>
          <w:highlight w:val="none"/>
        </w:rPr>
      </w:pPr>
      <w:r>
        <w:rPr>
          <w:rFonts w:hint="eastAsia" w:ascii="仿宋_GB2312" w:hAnsi="仿宋_GB2312" w:eastAsia="仿宋_GB2312" w:cs="仿宋_GB2312"/>
          <w:szCs w:val="21"/>
          <w:highlight w:val="none"/>
          <w:lang w:val="en-US" w:eastAsia="zh-CN"/>
        </w:rPr>
        <w:t>7</w:t>
      </w:r>
      <w:r>
        <w:rPr>
          <w:rFonts w:hint="eastAsia" w:ascii="仿宋_GB2312" w:hAnsi="仿宋_GB2312" w:eastAsia="仿宋_GB2312" w:cs="仿宋_GB2312"/>
          <w:szCs w:val="21"/>
          <w:highlight w:val="none"/>
        </w:rPr>
        <w:t>.2开标地点：</w:t>
      </w:r>
      <w:r>
        <w:rPr>
          <w:rFonts w:hint="eastAsia" w:ascii="仿宋_GB2312" w:hAnsi="仿宋_GB2312" w:eastAsia="仿宋_GB2312" w:cs="仿宋_GB2312"/>
          <w:b/>
          <w:bCs w:val="0"/>
          <w:i w:val="0"/>
          <w:iCs w:val="0"/>
          <w:szCs w:val="22"/>
          <w:highlight w:val="none"/>
          <w:u w:val="single"/>
        </w:rPr>
        <w:t>西藏自治区公共资源交易平台不见面开标大厅（可登录西藏自治区公共资源交易平台访问）</w:t>
      </w:r>
      <w:r>
        <w:rPr>
          <w:rFonts w:hint="eastAsia" w:ascii="仿宋_GB2312" w:hAnsi="仿宋_GB2312" w:eastAsia="仿宋_GB2312" w:cs="仿宋_GB2312"/>
          <w:b/>
          <w:bCs/>
          <w:i/>
          <w:iCs/>
          <w:sz w:val="28"/>
          <w:szCs w:val="28"/>
          <w:highlight w:val="none"/>
          <w:u w:val="single"/>
        </w:rPr>
        <w:t xml:space="preserve"> </w:t>
      </w:r>
      <w:r>
        <w:rPr>
          <w:rFonts w:hint="eastAsia" w:ascii="仿宋_GB2312" w:hAnsi="仿宋_GB2312" w:eastAsia="仿宋_GB2312" w:cs="仿宋_GB2312"/>
          <w:b/>
          <w:bCs/>
          <w:i/>
          <w:iCs/>
          <w:snapToGrid w:val="0"/>
          <w:kern w:val="0"/>
          <w:szCs w:val="21"/>
          <w:highlight w:val="none"/>
        </w:rPr>
        <w:t>。</w:t>
      </w:r>
    </w:p>
    <w:p>
      <w:pPr>
        <w:pStyle w:val="3"/>
        <w:spacing w:before="120" w:beforeLines="-2147483648" w:after="120" w:afterLines="-2147483648" w:line="440" w:lineRule="exact"/>
        <w:rPr>
          <w:rFonts w:hint="eastAsia" w:ascii="黑体" w:hAnsi="黑体" w:cs="Calibri"/>
          <w:b w:val="0"/>
          <w:color w:val="000000"/>
          <w:szCs w:val="32"/>
          <w:highlight w:val="none"/>
        </w:rPr>
      </w:pPr>
      <w:bookmarkStart w:id="19" w:name="_Toc1361861974"/>
      <w:r>
        <w:rPr>
          <w:rFonts w:hint="eastAsia" w:ascii="黑体" w:hAnsi="黑体" w:cs="Calibri"/>
          <w:b w:val="0"/>
          <w:color w:val="000000"/>
          <w:szCs w:val="32"/>
          <w:highlight w:val="none"/>
          <w:lang w:val="en-US" w:eastAsia="zh-CN"/>
        </w:rPr>
        <w:t>8</w:t>
      </w:r>
      <w:r>
        <w:rPr>
          <w:rFonts w:hint="eastAsia" w:ascii="黑体" w:hAnsi="黑体" w:cs="Calibri"/>
          <w:b w:val="0"/>
          <w:color w:val="000000"/>
          <w:szCs w:val="32"/>
          <w:highlight w:val="none"/>
        </w:rPr>
        <w:t>. 发布公告的媒介</w:t>
      </w:r>
      <w:bookmarkEnd w:id="19"/>
    </w:p>
    <w:p>
      <w:pPr>
        <w:spacing w:line="400" w:lineRule="exact"/>
        <w:ind w:firstLine="420" w:firstLineChars="200"/>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本次招标公告同时在</w:t>
      </w:r>
      <w:r>
        <w:rPr>
          <w:rFonts w:hint="eastAsia" w:ascii="仿宋_GB2312" w:hAnsi="仿宋_GB2312" w:eastAsia="仿宋_GB2312" w:cs="仿宋_GB2312"/>
          <w:b/>
          <w:color w:val="000000"/>
          <w:highlight w:val="none"/>
          <w:u w:val="single"/>
        </w:rPr>
        <w:t>《西藏自治区公共资源交易网》</w:t>
      </w:r>
      <w:r>
        <w:rPr>
          <w:rFonts w:hint="eastAsia" w:ascii="仿宋_GB2312" w:hAnsi="仿宋_GB2312" w:eastAsia="仿宋_GB2312" w:cs="仿宋_GB2312"/>
          <w:b/>
          <w:highlight w:val="none"/>
          <w:u w:val="single"/>
        </w:rPr>
        <w:t>、</w:t>
      </w:r>
      <w:r>
        <w:rPr>
          <w:rFonts w:hint="eastAsia" w:ascii="仿宋_GB2312" w:hAnsi="仿宋_GB2312" w:eastAsia="仿宋_GB2312" w:cs="仿宋_GB2312"/>
          <w:b/>
          <w:bCs w:val="0"/>
          <w:snapToGrid/>
          <w:kern w:val="2"/>
          <w:szCs w:val="22"/>
          <w:highlight w:val="none"/>
          <w:u w:val="single"/>
        </w:rPr>
        <w:t>《</w:t>
      </w:r>
      <w:r>
        <w:rPr>
          <w:rFonts w:hint="eastAsia" w:ascii="仿宋_GB2312" w:hAnsi="仿宋_GB2312" w:eastAsia="仿宋_GB2312" w:cs="仿宋_GB2312"/>
          <w:b/>
          <w:highlight w:val="none"/>
          <w:u w:val="single"/>
        </w:rPr>
        <w:t>中国招标投标公共服务平台网</w:t>
      </w:r>
      <w:r>
        <w:rPr>
          <w:rFonts w:hint="eastAsia" w:ascii="仿宋_GB2312" w:hAnsi="仿宋_GB2312" w:eastAsia="仿宋_GB2312" w:cs="仿宋_GB2312"/>
          <w:b/>
          <w:bCs w:val="0"/>
          <w:snapToGrid/>
          <w:kern w:val="2"/>
          <w:szCs w:val="22"/>
          <w:highlight w:val="none"/>
          <w:u w:val="single"/>
        </w:rPr>
        <w:t>》</w:t>
      </w:r>
      <w:r>
        <w:rPr>
          <w:rFonts w:hint="eastAsia" w:ascii="仿宋_GB2312" w:hAnsi="仿宋_GB2312" w:eastAsia="仿宋_GB2312" w:cs="仿宋_GB2312"/>
          <w:b/>
          <w:highlight w:val="none"/>
          <w:u w:val="single"/>
        </w:rPr>
        <w:t>、</w:t>
      </w:r>
      <w:r>
        <w:rPr>
          <w:rFonts w:hint="eastAsia" w:ascii="仿宋_GB2312" w:hAnsi="仿宋_GB2312" w:eastAsia="仿宋_GB2312" w:cs="仿宋_GB2312"/>
          <w:b/>
          <w:bCs w:val="0"/>
          <w:snapToGrid/>
          <w:kern w:val="2"/>
          <w:szCs w:val="22"/>
          <w:highlight w:val="none"/>
          <w:u w:val="single"/>
        </w:rPr>
        <w:t>《西藏自治区水利网》……（说明：发布公告的媒介名称）</w:t>
      </w:r>
      <w:r>
        <w:rPr>
          <w:rFonts w:hint="eastAsia" w:ascii="仿宋_GB2312" w:hAnsi="仿宋_GB2312" w:eastAsia="仿宋_GB2312" w:cs="仿宋_GB2312"/>
          <w:bCs/>
          <w:snapToGrid w:val="0"/>
          <w:kern w:val="0"/>
          <w:szCs w:val="21"/>
          <w:highlight w:val="none"/>
          <w:u w:val="single"/>
        </w:rPr>
        <w:t xml:space="preserve"> </w:t>
      </w:r>
      <w:r>
        <w:rPr>
          <w:rFonts w:hint="eastAsia" w:ascii="仿宋_GB2312" w:hAnsi="仿宋_GB2312" w:eastAsia="仿宋_GB2312" w:cs="仿宋_GB2312"/>
          <w:color w:val="000000"/>
          <w:highlight w:val="none"/>
        </w:rPr>
        <w:t>上发布。</w:t>
      </w:r>
    </w:p>
    <w:p>
      <w:pPr>
        <w:pStyle w:val="3"/>
        <w:keepNext w:val="0"/>
        <w:keepLines w:val="0"/>
        <w:spacing w:before="120" w:beforeLines="-2147483648" w:after="120" w:afterLines="-2147483648" w:line="440" w:lineRule="exact"/>
        <w:outlineLvl w:val="9"/>
        <w:rPr>
          <w:rFonts w:hint="eastAsia" w:ascii="黑体" w:hAnsi="黑体" w:eastAsia="黑体" w:cs="Calibri"/>
          <w:b w:val="0"/>
          <w:color w:val="000000"/>
          <w:sz w:val="32"/>
          <w:szCs w:val="32"/>
          <w:highlight w:val="none"/>
        </w:rPr>
      </w:pPr>
      <w:bookmarkStart w:id="20" w:name="_Toc33539261"/>
      <w:bookmarkStart w:id="21" w:name="_Toc560323745"/>
      <w:bookmarkStart w:id="22" w:name="_Toc242842235"/>
      <w:r>
        <w:rPr>
          <w:rFonts w:hint="eastAsia" w:ascii="黑体" w:hAnsi="黑体" w:cs="Calibri"/>
          <w:b w:val="0"/>
          <w:color w:val="000000"/>
          <w:szCs w:val="32"/>
          <w:highlight w:val="none"/>
          <w:lang w:eastAsia="zh-CN"/>
        </w:rPr>
        <w:t>9</w:t>
      </w:r>
      <w:r>
        <w:rPr>
          <w:rFonts w:hint="eastAsia" w:ascii="黑体" w:hAnsi="黑体" w:cs="Calibri"/>
          <w:b w:val="0"/>
          <w:color w:val="000000"/>
          <w:szCs w:val="32"/>
          <w:highlight w:val="none"/>
        </w:rPr>
        <w:t>. 注意事项</w:t>
      </w:r>
      <w:bookmarkEnd w:id="20"/>
      <w:bookmarkEnd w:id="21"/>
      <w:bookmarkEnd w:id="22"/>
    </w:p>
    <w:p>
      <w:pPr>
        <w:autoSpaceDE w:val="0"/>
        <w:autoSpaceDN w:val="0"/>
        <w:adjustRightInd w:val="0"/>
        <w:spacing w:line="440" w:lineRule="exact"/>
        <w:ind w:firstLine="462" w:firstLineChars="220"/>
        <w:jc w:val="left"/>
        <w:rPr>
          <w:rFonts w:hint="eastAsia" w:ascii="仿宋_GB2312" w:hAnsi="仿宋_GB2312" w:eastAsia="仿宋_GB2312" w:cs="仿宋_GB2312"/>
          <w:kern w:val="0"/>
          <w:szCs w:val="21"/>
          <w:highlight w:val="none"/>
        </w:rPr>
      </w:pPr>
      <w:r>
        <w:rPr>
          <w:rFonts w:hint="eastAsia" w:ascii="仿宋_GB2312" w:hAnsi="仿宋_GB2312" w:eastAsia="仿宋_GB2312" w:cs="仿宋_GB2312"/>
          <w:kern w:val="0"/>
          <w:szCs w:val="21"/>
          <w:highlight w:val="none"/>
          <w:lang w:eastAsia="zh-CN"/>
        </w:rPr>
        <w:t>9</w:t>
      </w:r>
      <w:r>
        <w:rPr>
          <w:rFonts w:hint="eastAsia" w:ascii="仿宋_GB2312" w:hAnsi="仿宋_GB2312" w:eastAsia="仿宋_GB2312" w:cs="仿宋_GB2312"/>
          <w:kern w:val="0"/>
          <w:szCs w:val="21"/>
          <w:highlight w:val="none"/>
        </w:rPr>
        <w:t>.1 投标人应合理安排招标文件获取及交费时间，特别是网络速度慢的地区防止在系统关闭前网络拥堵无法操作。如果因计算机及网络故障造成无法完成招标文件获取及交费，责任自负。</w:t>
      </w:r>
    </w:p>
    <w:p>
      <w:pPr>
        <w:autoSpaceDE w:val="0"/>
        <w:autoSpaceDN w:val="0"/>
        <w:adjustRightInd w:val="0"/>
        <w:spacing w:line="440" w:lineRule="exact"/>
        <w:ind w:firstLine="420" w:firstLineChars="200"/>
        <w:jc w:val="left"/>
        <w:rPr>
          <w:rFonts w:hint="eastAsia" w:ascii="仿宋_GB2312" w:hAnsi="仿宋_GB2312" w:eastAsia="仿宋_GB2312" w:cs="仿宋_GB2312"/>
          <w:kern w:val="0"/>
          <w:szCs w:val="21"/>
          <w:highlight w:val="none"/>
        </w:rPr>
      </w:pPr>
      <w:r>
        <w:rPr>
          <w:rFonts w:hint="eastAsia" w:ascii="仿宋_GB2312" w:hAnsi="仿宋_GB2312" w:eastAsia="仿宋_GB2312" w:cs="仿宋_GB2312"/>
          <w:kern w:val="0"/>
          <w:szCs w:val="21"/>
          <w:highlight w:val="none"/>
          <w:lang w:eastAsia="zh-CN"/>
        </w:rPr>
        <w:t>9</w:t>
      </w:r>
      <w:r>
        <w:rPr>
          <w:rFonts w:hint="eastAsia" w:ascii="仿宋_GB2312" w:hAnsi="仿宋_GB2312" w:eastAsia="仿宋_GB2312" w:cs="仿宋_GB2312"/>
          <w:kern w:val="0"/>
          <w:szCs w:val="21"/>
          <w:highlight w:val="none"/>
        </w:rPr>
        <w:t>.2 投标</w:t>
      </w:r>
      <w:r>
        <w:rPr>
          <w:rFonts w:hint="eastAsia" w:ascii="仿宋_GB2312" w:hAnsi="仿宋_GB2312" w:eastAsia="仿宋_GB2312" w:cs="仿宋_GB2312"/>
          <w:kern w:val="0"/>
          <w:szCs w:val="21"/>
          <w:highlight w:val="none"/>
          <w:lang w:val="en-US" w:eastAsia="zh-CN"/>
        </w:rPr>
        <w:t>人</w:t>
      </w:r>
      <w:r>
        <w:rPr>
          <w:rFonts w:hint="eastAsia" w:ascii="仿宋_GB2312" w:hAnsi="仿宋_GB2312" w:eastAsia="仿宋_GB2312" w:cs="仿宋_GB2312"/>
          <w:kern w:val="0"/>
          <w:szCs w:val="21"/>
          <w:highlight w:val="none"/>
        </w:rPr>
        <w:t>在投标时需要上传</w:t>
      </w:r>
      <w:r>
        <w:rPr>
          <w:rFonts w:hint="eastAsia" w:ascii="仿宋_GB2312" w:hAnsi="仿宋_GB2312" w:eastAsia="仿宋_GB2312" w:cs="仿宋_GB2312"/>
          <w:kern w:val="0"/>
          <w:szCs w:val="21"/>
          <w:highlight w:val="none"/>
          <w:lang w:val="en-US" w:eastAsia="zh-CN"/>
        </w:rPr>
        <w:t>加密的</w:t>
      </w:r>
      <w:r>
        <w:rPr>
          <w:rFonts w:hint="eastAsia" w:ascii="仿宋_GB2312" w:hAnsi="仿宋_GB2312" w:eastAsia="仿宋_GB2312" w:cs="仿宋_GB2312"/>
          <w:kern w:val="0"/>
          <w:szCs w:val="21"/>
          <w:highlight w:val="none"/>
        </w:rPr>
        <w:t>电子投标文件至</w:t>
      </w:r>
      <w:r>
        <w:rPr>
          <w:rFonts w:hint="eastAsia" w:ascii="仿宋_GB2312" w:hAnsi="仿宋_GB2312" w:eastAsia="仿宋_GB2312" w:cs="仿宋_GB2312"/>
          <w:kern w:val="0"/>
          <w:szCs w:val="21"/>
          <w:highlight w:val="none"/>
          <w:lang w:val="en-US" w:eastAsia="zh-CN"/>
        </w:rPr>
        <w:t>电子交易</w:t>
      </w:r>
      <w:r>
        <w:rPr>
          <w:rFonts w:hint="eastAsia" w:ascii="仿宋_GB2312" w:hAnsi="仿宋_GB2312" w:eastAsia="仿宋_GB2312" w:cs="仿宋_GB2312"/>
          <w:kern w:val="0"/>
          <w:szCs w:val="21"/>
          <w:highlight w:val="none"/>
        </w:rPr>
        <w:t>系统中，并在西藏自治区公共资源交易平台不见面开标大厅（可登录西藏自治区公共资源交易平台访问）用制作电子投标文件的企业CA锁，解密上传的电子投标文件。</w:t>
      </w:r>
    </w:p>
    <w:p>
      <w:pPr>
        <w:autoSpaceDE w:val="0"/>
        <w:autoSpaceDN w:val="0"/>
        <w:adjustRightInd w:val="0"/>
        <w:spacing w:line="440" w:lineRule="exact"/>
        <w:ind w:firstLine="420" w:firstLineChars="200"/>
        <w:jc w:val="left"/>
        <w:rPr>
          <w:rFonts w:hint="eastAsia" w:ascii="仿宋_GB2312" w:hAnsi="仿宋_GB2312" w:eastAsia="仿宋_GB2312" w:cs="仿宋_GB2312"/>
          <w:kern w:val="0"/>
          <w:szCs w:val="21"/>
          <w:highlight w:val="none"/>
        </w:rPr>
      </w:pPr>
      <w:r>
        <w:rPr>
          <w:rFonts w:hint="eastAsia" w:ascii="仿宋_GB2312" w:hAnsi="仿宋_GB2312" w:eastAsia="仿宋_GB2312" w:cs="仿宋_GB2312"/>
          <w:kern w:val="0"/>
          <w:szCs w:val="21"/>
          <w:highlight w:val="none"/>
          <w:lang w:val="en-US" w:eastAsia="zh-CN"/>
        </w:rPr>
        <w:t>9</w:t>
      </w:r>
      <w:r>
        <w:rPr>
          <w:rFonts w:hint="eastAsia" w:ascii="仿宋_GB2312" w:hAnsi="仿宋_GB2312" w:eastAsia="仿宋_GB2312" w:cs="仿宋_GB2312"/>
          <w:kern w:val="0"/>
          <w:szCs w:val="21"/>
          <w:highlight w:val="none"/>
        </w:rPr>
        <w:t>.3因投标人原因造成投标文件未解密的，视为撤销其投标文件；因投标人之外的原因造成投标文件未解密的，视为撤回其投标文件，投标人有权要求责任方赔偿因此遭受的直接损失。部分投标文件未解密的，其他投标文件的开标可以继续进行。</w:t>
      </w:r>
    </w:p>
    <w:p>
      <w:pPr>
        <w:autoSpaceDE w:val="0"/>
        <w:autoSpaceDN w:val="0"/>
        <w:adjustRightInd w:val="0"/>
        <w:spacing w:line="440" w:lineRule="exact"/>
        <w:ind w:firstLine="420" w:firstLineChars="200"/>
        <w:jc w:val="left"/>
        <w:rPr>
          <w:rFonts w:hint="eastAsia" w:ascii="仿宋_GB2312" w:hAnsi="仿宋_GB2312" w:eastAsia="仿宋_GB2312" w:cs="仿宋_GB2312"/>
          <w:kern w:val="0"/>
          <w:szCs w:val="21"/>
          <w:highlight w:val="none"/>
        </w:rPr>
      </w:pPr>
      <w:r>
        <w:rPr>
          <w:rFonts w:hint="eastAsia" w:ascii="仿宋_GB2312" w:hAnsi="仿宋_GB2312" w:eastAsia="仿宋_GB2312" w:cs="仿宋_GB2312"/>
          <w:kern w:val="0"/>
          <w:szCs w:val="21"/>
          <w:highlight w:val="none"/>
          <w:lang w:eastAsia="zh-CN"/>
        </w:rPr>
        <w:t>9</w:t>
      </w:r>
      <w:r>
        <w:rPr>
          <w:rFonts w:hint="eastAsia" w:ascii="仿宋_GB2312" w:hAnsi="仿宋_GB2312" w:eastAsia="仿宋_GB2312" w:cs="仿宋_GB2312"/>
          <w:kern w:val="0"/>
          <w:szCs w:val="21"/>
          <w:highlight w:val="none"/>
        </w:rPr>
        <w:t>.</w:t>
      </w:r>
      <w:r>
        <w:rPr>
          <w:rFonts w:hint="eastAsia" w:ascii="仿宋_GB2312" w:hAnsi="仿宋_GB2312" w:eastAsia="仿宋_GB2312" w:cs="仿宋_GB2312"/>
          <w:kern w:val="0"/>
          <w:szCs w:val="21"/>
          <w:highlight w:val="none"/>
          <w:lang w:eastAsia="zh-CN"/>
        </w:rPr>
        <w:t>4</w:t>
      </w:r>
      <w:r>
        <w:rPr>
          <w:rFonts w:hint="eastAsia" w:ascii="仿宋_GB2312" w:hAnsi="仿宋_GB2312" w:eastAsia="仿宋_GB2312" w:cs="仿宋_GB2312"/>
          <w:kern w:val="0"/>
          <w:szCs w:val="21"/>
          <w:highlight w:val="none"/>
        </w:rPr>
        <w:t xml:space="preserve"> 其他：</w:t>
      </w:r>
      <w:r>
        <w:rPr>
          <w:rFonts w:hint="eastAsia" w:ascii="仿宋_GB2312" w:hAnsi="仿宋_GB2312" w:eastAsia="仿宋_GB2312" w:cs="仿宋_GB2312"/>
          <w:kern w:val="0"/>
          <w:szCs w:val="21"/>
          <w:highlight w:val="none"/>
          <w:u w:val="single"/>
        </w:rPr>
        <w:t xml:space="preserve">                            </w:t>
      </w:r>
      <w:r>
        <w:rPr>
          <w:rFonts w:hint="eastAsia" w:ascii="仿宋_GB2312" w:hAnsi="仿宋_GB2312" w:eastAsia="仿宋_GB2312" w:cs="仿宋_GB2312"/>
          <w:kern w:val="0"/>
          <w:szCs w:val="21"/>
          <w:highlight w:val="none"/>
        </w:rPr>
        <w:t>。</w:t>
      </w:r>
    </w:p>
    <w:p>
      <w:pPr>
        <w:pStyle w:val="3"/>
        <w:spacing w:before="120" w:beforeLines="-2147483648" w:after="120" w:afterLines="-2147483648" w:line="440" w:lineRule="exact"/>
        <w:rPr>
          <w:rFonts w:hint="eastAsia" w:ascii="黑体" w:hAnsi="黑体" w:cs="Calibri"/>
          <w:b w:val="0"/>
          <w:color w:val="000000"/>
          <w:szCs w:val="32"/>
          <w:highlight w:val="none"/>
        </w:rPr>
      </w:pPr>
      <w:bookmarkStart w:id="23" w:name="_Toc1435828971"/>
      <w:r>
        <w:rPr>
          <w:rFonts w:hint="eastAsia" w:ascii="黑体" w:hAnsi="黑体" w:cs="Calibri"/>
          <w:b w:val="0"/>
          <w:color w:val="000000"/>
          <w:szCs w:val="32"/>
          <w:highlight w:val="none"/>
          <w:lang w:val="en-US" w:eastAsia="zh-CN"/>
        </w:rPr>
        <w:t>10</w:t>
      </w:r>
      <w:r>
        <w:rPr>
          <w:rFonts w:hint="eastAsia" w:ascii="黑体" w:hAnsi="黑体" w:cs="Calibri"/>
          <w:b w:val="0"/>
          <w:color w:val="000000"/>
          <w:szCs w:val="32"/>
          <w:highlight w:val="none"/>
        </w:rPr>
        <w:t>. 联系方式</w:t>
      </w:r>
      <w:bookmarkEnd w:id="23"/>
    </w:p>
    <w:bookmarkEnd w:id="1"/>
    <w:bookmarkEnd w:id="2"/>
    <w:bookmarkEnd w:id="3"/>
    <w:p>
      <w:pPr>
        <w:spacing w:line="440" w:lineRule="exact"/>
        <w:ind w:firstLine="437"/>
        <w:rPr>
          <w:rFonts w:hint="eastAsia" w:ascii="仿宋_GB2312" w:hAnsi="仿宋_GB2312" w:eastAsia="仿宋_GB2312" w:cs="仿宋_GB2312"/>
          <w:szCs w:val="24"/>
          <w:highlight w:val="none"/>
          <w:u w:val="single"/>
        </w:rPr>
      </w:pPr>
      <w:bookmarkStart w:id="24" w:name="_Toc247513935"/>
      <w:bookmarkEnd w:id="24"/>
      <w:bookmarkStart w:id="25" w:name="_Toc369531495"/>
      <w:bookmarkEnd w:id="25"/>
      <w:bookmarkStart w:id="26" w:name="_Toc247513934"/>
      <w:bookmarkEnd w:id="26"/>
      <w:bookmarkStart w:id="27" w:name="_Toc361508560"/>
      <w:bookmarkEnd w:id="27"/>
      <w:bookmarkStart w:id="28" w:name="_Toc144974481"/>
      <w:bookmarkEnd w:id="28"/>
      <w:bookmarkStart w:id="29" w:name="_Toc17972"/>
      <w:bookmarkEnd w:id="29"/>
      <w:bookmarkStart w:id="30" w:name="_Toc152042289"/>
      <w:bookmarkEnd w:id="30"/>
      <w:bookmarkStart w:id="31" w:name="_Toc144974480"/>
      <w:bookmarkEnd w:id="31"/>
      <w:bookmarkStart w:id="32" w:name="_Toc361508563"/>
      <w:bookmarkEnd w:id="32"/>
      <w:bookmarkStart w:id="33" w:name="_Toc352691453"/>
      <w:bookmarkEnd w:id="33"/>
      <w:bookmarkStart w:id="34" w:name="_Toc10785"/>
      <w:bookmarkEnd w:id="34"/>
      <w:bookmarkStart w:id="35" w:name="_Toc152045513"/>
      <w:bookmarkEnd w:id="35"/>
      <w:bookmarkStart w:id="36" w:name="_Toc152045512"/>
      <w:bookmarkEnd w:id="36"/>
      <w:bookmarkStart w:id="37" w:name="_Toc300834929"/>
      <w:bookmarkEnd w:id="37"/>
      <w:bookmarkStart w:id="38" w:name="_Toc352691456"/>
      <w:bookmarkEnd w:id="38"/>
      <w:bookmarkStart w:id="39" w:name="_Toc384308188"/>
      <w:bookmarkEnd w:id="39"/>
      <w:bookmarkStart w:id="40" w:name="_Toc369531497"/>
      <w:bookmarkEnd w:id="40"/>
      <w:bookmarkStart w:id="41" w:name="_Toc247527535"/>
      <w:bookmarkEnd w:id="41"/>
      <w:bookmarkStart w:id="42" w:name="_Toc300834927"/>
      <w:bookmarkEnd w:id="42"/>
      <w:bookmarkStart w:id="43" w:name="_Toc369531498"/>
      <w:bookmarkEnd w:id="43"/>
      <w:bookmarkStart w:id="44" w:name="_Toc152042288"/>
      <w:bookmarkEnd w:id="44"/>
      <w:bookmarkStart w:id="45" w:name="_Toc352691455"/>
      <w:bookmarkEnd w:id="45"/>
      <w:bookmarkStart w:id="46" w:name="_Toc361508562"/>
      <w:bookmarkEnd w:id="46"/>
      <w:bookmarkStart w:id="47" w:name="_Toc384308187"/>
      <w:bookmarkEnd w:id="47"/>
      <w:bookmarkStart w:id="48" w:name="_Toc300834930"/>
      <w:bookmarkEnd w:id="48"/>
      <w:bookmarkStart w:id="49" w:name="_Toc30817"/>
      <w:bookmarkEnd w:id="49"/>
      <w:bookmarkStart w:id="50" w:name="_Toc384308185"/>
      <w:bookmarkEnd w:id="50"/>
      <w:bookmarkStart w:id="51" w:name="_Toc247527536"/>
      <w:bookmarkEnd w:id="51"/>
      <w:r>
        <w:rPr>
          <w:rFonts w:hint="eastAsia" w:ascii="仿宋_GB2312" w:hAnsi="仿宋_GB2312" w:eastAsia="仿宋_GB2312" w:cs="仿宋_GB2312"/>
          <w:szCs w:val="24"/>
          <w:highlight w:val="none"/>
        </w:rPr>
        <w:t>招 标 人：</w:t>
      </w:r>
      <w:r>
        <w:rPr>
          <w:rFonts w:hint="eastAsia" w:ascii="仿宋_GB2312" w:hAnsi="仿宋_GB2312" w:eastAsia="仿宋_GB2312" w:cs="仿宋_GB2312"/>
          <w:szCs w:val="24"/>
          <w:highlight w:val="none"/>
          <w:u w:val="single"/>
        </w:rPr>
        <w:t xml:space="preserve">                            </w:t>
      </w:r>
    </w:p>
    <w:p>
      <w:pPr>
        <w:spacing w:line="440" w:lineRule="exact"/>
        <w:ind w:firstLine="437"/>
        <w:rPr>
          <w:rFonts w:hint="eastAsia" w:ascii="仿宋_GB2312" w:hAnsi="仿宋_GB2312" w:eastAsia="仿宋_GB2312" w:cs="仿宋_GB2312"/>
          <w:szCs w:val="24"/>
          <w:highlight w:val="none"/>
          <w:u w:val="single"/>
        </w:rPr>
      </w:pPr>
      <w:r>
        <w:rPr>
          <w:rFonts w:hint="eastAsia" w:ascii="仿宋_GB2312" w:hAnsi="仿宋_GB2312" w:eastAsia="仿宋_GB2312" w:cs="仿宋_GB2312"/>
          <w:szCs w:val="24"/>
          <w:highlight w:val="none"/>
        </w:rPr>
        <w:t>地    址：</w:t>
      </w:r>
      <w:r>
        <w:rPr>
          <w:rFonts w:hint="eastAsia" w:ascii="仿宋_GB2312" w:hAnsi="仿宋_GB2312" w:eastAsia="仿宋_GB2312" w:cs="仿宋_GB2312"/>
          <w:szCs w:val="24"/>
          <w:highlight w:val="none"/>
          <w:u w:val="single"/>
        </w:rPr>
        <w:t xml:space="preserve">                            </w:t>
      </w:r>
    </w:p>
    <w:p>
      <w:pPr>
        <w:spacing w:line="440" w:lineRule="exact"/>
        <w:ind w:firstLine="437"/>
        <w:rPr>
          <w:rFonts w:hint="eastAsia" w:ascii="仿宋_GB2312" w:hAnsi="仿宋_GB2312" w:eastAsia="仿宋_GB2312" w:cs="仿宋_GB2312"/>
          <w:szCs w:val="24"/>
          <w:highlight w:val="none"/>
        </w:rPr>
      </w:pPr>
      <w:r>
        <w:rPr>
          <w:rFonts w:hint="eastAsia" w:ascii="仿宋_GB2312" w:hAnsi="仿宋_GB2312" w:eastAsia="仿宋_GB2312" w:cs="仿宋_GB2312"/>
          <w:szCs w:val="24"/>
          <w:highlight w:val="none"/>
        </w:rPr>
        <w:t>邮    编：</w:t>
      </w:r>
      <w:r>
        <w:rPr>
          <w:rFonts w:hint="eastAsia" w:ascii="仿宋_GB2312" w:hAnsi="仿宋_GB2312" w:eastAsia="仿宋_GB2312" w:cs="仿宋_GB2312"/>
          <w:szCs w:val="24"/>
          <w:highlight w:val="none"/>
          <w:u w:val="single"/>
        </w:rPr>
        <w:t xml:space="preserve">                            </w:t>
      </w:r>
    </w:p>
    <w:p>
      <w:pPr>
        <w:spacing w:line="440" w:lineRule="exact"/>
        <w:ind w:firstLine="437"/>
        <w:rPr>
          <w:rFonts w:hint="eastAsia" w:ascii="仿宋_GB2312" w:hAnsi="仿宋_GB2312" w:eastAsia="仿宋_GB2312" w:cs="仿宋_GB2312"/>
          <w:szCs w:val="24"/>
          <w:highlight w:val="none"/>
        </w:rPr>
      </w:pPr>
      <w:r>
        <w:rPr>
          <w:rFonts w:hint="eastAsia" w:ascii="仿宋_GB2312" w:hAnsi="仿宋_GB2312" w:eastAsia="仿宋_GB2312" w:cs="仿宋_GB2312"/>
          <w:szCs w:val="24"/>
          <w:highlight w:val="none"/>
        </w:rPr>
        <w:t>联 系 人：</w:t>
      </w:r>
      <w:r>
        <w:rPr>
          <w:rFonts w:hint="eastAsia" w:ascii="仿宋_GB2312" w:hAnsi="仿宋_GB2312" w:eastAsia="仿宋_GB2312" w:cs="仿宋_GB2312"/>
          <w:szCs w:val="24"/>
          <w:highlight w:val="none"/>
          <w:u w:val="single"/>
        </w:rPr>
        <w:t xml:space="preserve">                            </w:t>
      </w:r>
    </w:p>
    <w:p>
      <w:pPr>
        <w:spacing w:line="440" w:lineRule="exact"/>
        <w:ind w:firstLine="437"/>
        <w:rPr>
          <w:rFonts w:hint="eastAsia" w:ascii="仿宋_GB2312" w:hAnsi="仿宋_GB2312" w:eastAsia="仿宋_GB2312" w:cs="仿宋_GB2312"/>
          <w:szCs w:val="24"/>
          <w:highlight w:val="none"/>
        </w:rPr>
      </w:pPr>
      <w:r>
        <w:rPr>
          <w:rFonts w:hint="eastAsia" w:ascii="仿宋_GB2312" w:hAnsi="仿宋_GB2312" w:eastAsia="仿宋_GB2312" w:cs="仿宋_GB2312"/>
          <w:szCs w:val="24"/>
          <w:highlight w:val="none"/>
        </w:rPr>
        <w:t>电    话：</w:t>
      </w:r>
      <w:r>
        <w:rPr>
          <w:rFonts w:hint="eastAsia" w:ascii="仿宋_GB2312" w:hAnsi="仿宋_GB2312" w:eastAsia="仿宋_GB2312" w:cs="仿宋_GB2312"/>
          <w:szCs w:val="24"/>
          <w:highlight w:val="none"/>
          <w:u w:val="single"/>
        </w:rPr>
        <w:t xml:space="preserve">                            </w:t>
      </w:r>
    </w:p>
    <w:p>
      <w:pPr>
        <w:spacing w:line="440" w:lineRule="exact"/>
        <w:ind w:firstLine="437"/>
        <w:rPr>
          <w:rFonts w:hint="eastAsia" w:ascii="仿宋_GB2312" w:hAnsi="仿宋_GB2312" w:eastAsia="仿宋_GB2312" w:cs="仿宋_GB2312"/>
          <w:szCs w:val="24"/>
          <w:highlight w:val="none"/>
          <w:u w:val="single"/>
        </w:rPr>
      </w:pPr>
      <w:r>
        <w:rPr>
          <w:rFonts w:hint="eastAsia" w:ascii="仿宋_GB2312" w:hAnsi="仿宋_GB2312" w:eastAsia="仿宋_GB2312" w:cs="仿宋_GB2312"/>
          <w:szCs w:val="24"/>
          <w:highlight w:val="none"/>
        </w:rPr>
        <w:t>招标代理机构：</w:t>
      </w:r>
      <w:r>
        <w:rPr>
          <w:rFonts w:hint="eastAsia" w:ascii="仿宋_GB2312" w:hAnsi="仿宋_GB2312" w:eastAsia="仿宋_GB2312" w:cs="仿宋_GB2312"/>
          <w:szCs w:val="24"/>
          <w:highlight w:val="none"/>
          <w:u w:val="single"/>
        </w:rPr>
        <w:t xml:space="preserve">                        </w:t>
      </w:r>
    </w:p>
    <w:p>
      <w:pPr>
        <w:spacing w:line="440" w:lineRule="exact"/>
        <w:ind w:firstLine="437"/>
        <w:rPr>
          <w:rFonts w:hint="eastAsia" w:ascii="仿宋_GB2312" w:hAnsi="仿宋_GB2312" w:eastAsia="仿宋_GB2312" w:cs="仿宋_GB2312"/>
          <w:szCs w:val="24"/>
          <w:highlight w:val="none"/>
          <w:u w:val="single"/>
        </w:rPr>
      </w:pPr>
      <w:r>
        <w:rPr>
          <w:rFonts w:hint="eastAsia" w:ascii="仿宋_GB2312" w:hAnsi="仿宋_GB2312" w:eastAsia="仿宋_GB2312" w:cs="仿宋_GB2312"/>
          <w:szCs w:val="24"/>
          <w:highlight w:val="none"/>
        </w:rPr>
        <w:t>地    址：</w:t>
      </w:r>
      <w:r>
        <w:rPr>
          <w:rFonts w:hint="eastAsia" w:ascii="仿宋_GB2312" w:hAnsi="仿宋_GB2312" w:eastAsia="仿宋_GB2312" w:cs="仿宋_GB2312"/>
          <w:szCs w:val="24"/>
          <w:highlight w:val="none"/>
          <w:u w:val="single"/>
        </w:rPr>
        <w:t xml:space="preserve">                            </w:t>
      </w:r>
    </w:p>
    <w:p>
      <w:pPr>
        <w:spacing w:line="440" w:lineRule="exact"/>
        <w:ind w:firstLine="437"/>
        <w:rPr>
          <w:rFonts w:hint="eastAsia" w:ascii="仿宋_GB2312" w:hAnsi="仿宋_GB2312" w:eastAsia="仿宋_GB2312" w:cs="仿宋_GB2312"/>
          <w:szCs w:val="24"/>
          <w:highlight w:val="none"/>
          <w:u w:val="single"/>
        </w:rPr>
      </w:pPr>
      <w:r>
        <w:rPr>
          <w:rFonts w:hint="eastAsia" w:ascii="仿宋_GB2312" w:hAnsi="仿宋_GB2312" w:eastAsia="仿宋_GB2312" w:cs="仿宋_GB2312"/>
          <w:szCs w:val="24"/>
          <w:highlight w:val="none"/>
        </w:rPr>
        <w:t>邮    编：</w:t>
      </w:r>
      <w:r>
        <w:rPr>
          <w:rFonts w:hint="eastAsia" w:ascii="仿宋_GB2312" w:hAnsi="仿宋_GB2312" w:eastAsia="仿宋_GB2312" w:cs="仿宋_GB2312"/>
          <w:szCs w:val="24"/>
          <w:highlight w:val="none"/>
          <w:u w:val="single"/>
        </w:rPr>
        <w:t xml:space="preserve">                            </w:t>
      </w:r>
    </w:p>
    <w:p>
      <w:pPr>
        <w:spacing w:line="440" w:lineRule="exact"/>
        <w:ind w:firstLine="437"/>
        <w:rPr>
          <w:rFonts w:hint="eastAsia" w:ascii="仿宋_GB2312" w:hAnsi="仿宋_GB2312" w:eastAsia="仿宋_GB2312" w:cs="仿宋_GB2312"/>
          <w:szCs w:val="24"/>
          <w:highlight w:val="none"/>
          <w:u w:val="single"/>
        </w:rPr>
      </w:pPr>
      <w:r>
        <w:rPr>
          <w:rFonts w:hint="eastAsia" w:ascii="仿宋_GB2312" w:hAnsi="仿宋_GB2312" w:eastAsia="仿宋_GB2312" w:cs="仿宋_GB2312"/>
          <w:szCs w:val="24"/>
          <w:highlight w:val="none"/>
        </w:rPr>
        <w:t>联 系 人：</w:t>
      </w:r>
      <w:r>
        <w:rPr>
          <w:rFonts w:hint="eastAsia" w:ascii="仿宋_GB2312" w:hAnsi="仿宋_GB2312" w:eastAsia="仿宋_GB2312" w:cs="仿宋_GB2312"/>
          <w:szCs w:val="24"/>
          <w:highlight w:val="none"/>
          <w:u w:val="single"/>
        </w:rPr>
        <w:t xml:space="preserve">                            </w:t>
      </w:r>
    </w:p>
    <w:p>
      <w:pPr>
        <w:pageBreakBefore w:val="0"/>
        <w:widowControl/>
        <w:numPr>
          <w:ilvl w:val="-1"/>
          <w:numId w:val="0"/>
        </w:numPr>
        <w:kinsoku/>
        <w:wordWrap/>
        <w:overflowPunct/>
        <w:topLinePunct w:val="0"/>
        <w:autoSpaceDE/>
        <w:autoSpaceDN/>
        <w:bidi w:val="0"/>
        <w:spacing w:line="440" w:lineRule="exact"/>
        <w:ind w:firstLine="420" w:firstLineChars="200"/>
        <w:textAlignment w:val="auto"/>
        <w:rPr>
          <w:rFonts w:hint="eastAsia" w:ascii="仿宋_GB2312" w:hAnsi="仿宋_GB2312" w:eastAsia="仿宋_GB2312" w:cs="仿宋_GB2312"/>
          <w:szCs w:val="24"/>
          <w:highlight w:val="none"/>
          <w:u w:val="single"/>
        </w:rPr>
      </w:pPr>
      <w:r>
        <w:rPr>
          <w:rFonts w:hint="eastAsia" w:ascii="仿宋_GB2312" w:hAnsi="仿宋_GB2312" w:eastAsia="仿宋_GB2312" w:cs="仿宋_GB2312"/>
          <w:szCs w:val="24"/>
          <w:highlight w:val="none"/>
        </w:rPr>
        <w:t>电    话：</w:t>
      </w:r>
      <w:r>
        <w:rPr>
          <w:rFonts w:hint="eastAsia" w:ascii="仿宋_GB2312" w:hAnsi="仿宋_GB2312" w:eastAsia="仿宋_GB2312" w:cs="仿宋_GB2312"/>
          <w:szCs w:val="24"/>
          <w:highlight w:val="none"/>
          <w:u w:val="single"/>
        </w:rPr>
        <w:t xml:space="preserve">                            </w:t>
      </w:r>
    </w:p>
    <w:p>
      <w:pPr>
        <w:pStyle w:val="3"/>
        <w:pageBreakBefore w:val="0"/>
        <w:widowControl w:val="0"/>
        <w:numPr>
          <w:ilvl w:val="0"/>
          <w:numId w:val="1"/>
        </w:numPr>
        <w:kinsoku/>
        <w:wordWrap/>
        <w:overflowPunct/>
        <w:topLinePunct w:val="0"/>
        <w:autoSpaceDE/>
        <w:autoSpaceDN/>
        <w:bidi w:val="0"/>
        <w:spacing w:before="120" w:beforeLines="-2147483648" w:after="120" w:afterLines="-2147483648" w:line="440" w:lineRule="exact"/>
        <w:textAlignment w:val="auto"/>
        <w:rPr>
          <w:rFonts w:hint="eastAsia" w:ascii="黑体" w:hAnsi="黑体" w:eastAsia="黑体" w:cs="Calibri"/>
          <w:b w:val="0"/>
          <w:sz w:val="32"/>
          <w:szCs w:val="32"/>
          <w:highlight w:val="none"/>
          <w:lang w:val="en-US" w:eastAsia="zh-CN"/>
        </w:rPr>
      </w:pPr>
      <w:bookmarkStart w:id="52" w:name="_Toc1041658481"/>
      <w:r>
        <w:rPr>
          <w:rFonts w:hint="eastAsia" w:ascii="黑体" w:hAnsi="黑体" w:eastAsia="黑体" w:cs="Calibri"/>
          <w:b w:val="0"/>
          <w:szCs w:val="32"/>
          <w:highlight w:val="none"/>
          <w:u w:val="none"/>
          <w:lang w:val="en-US" w:eastAsia="zh-CN"/>
        </w:rPr>
        <w:t>11.</w:t>
      </w:r>
      <w:r>
        <w:rPr>
          <w:rFonts w:hint="eastAsia" w:ascii="黑体" w:hAnsi="黑体" w:eastAsia="黑体" w:cs="Calibri"/>
          <w:b w:val="0"/>
          <w:bCs w:val="0"/>
          <w:kern w:val="2"/>
          <w:sz w:val="32"/>
          <w:szCs w:val="32"/>
          <w:highlight w:val="none"/>
          <w:lang w:val="en-US" w:eastAsia="zh-CN" w:bidi="ar-SA"/>
        </w:rPr>
        <w:t>受理</w:t>
      </w:r>
      <w:r>
        <w:rPr>
          <w:rFonts w:hint="eastAsia" w:ascii="黑体" w:hAnsi="黑体" w:eastAsia="黑体" w:cs="Calibri"/>
          <w:b w:val="0"/>
          <w:sz w:val="32"/>
          <w:szCs w:val="32"/>
          <w:highlight w:val="none"/>
          <w:lang w:val="en-US" w:eastAsia="zh-CN"/>
        </w:rPr>
        <w:t>异议的监督部门和联系方式</w:t>
      </w:r>
      <w:bookmarkEnd w:id="52"/>
    </w:p>
    <w:p>
      <w:pPr>
        <w:pageBreakBefore w:val="0"/>
        <w:widowControl w:val="0"/>
        <w:kinsoku/>
        <w:wordWrap/>
        <w:overflowPunct/>
        <w:topLinePunct w:val="0"/>
        <w:autoSpaceDE/>
        <w:autoSpaceDN/>
        <w:bidi w:val="0"/>
        <w:spacing w:line="440" w:lineRule="exact"/>
        <w:ind w:firstLine="437"/>
        <w:textAlignment w:val="auto"/>
        <w:rPr>
          <w:rFonts w:hint="default" w:ascii="仿宋_GB2312" w:hAnsi="宋体" w:eastAsia="仿宋_GB2312" w:cs="Times New Roman"/>
          <w:highlight w:val="none"/>
          <w:u w:val="single"/>
          <w:lang w:val="en-US" w:eastAsia="zh-CN"/>
        </w:rPr>
      </w:pPr>
      <w:r>
        <w:rPr>
          <w:rFonts w:hint="eastAsia" w:ascii="仿宋_GB2312" w:hAnsi="宋体" w:eastAsia="仿宋_GB2312" w:cs="Times New Roman"/>
          <w:highlight w:val="none"/>
          <w:lang w:val="en-US" w:eastAsia="zh-CN"/>
        </w:rPr>
        <w:t>监督部门:</w:t>
      </w:r>
      <w:r>
        <w:rPr>
          <w:rFonts w:hint="eastAsia" w:ascii="仿宋_GB2312" w:hAnsi="宋体" w:eastAsia="仿宋_GB2312" w:cs="Times New Roman"/>
          <w:highlight w:val="none"/>
          <w:u w:val="single"/>
          <w:lang w:val="en-US" w:eastAsia="zh-CN"/>
        </w:rPr>
        <w:t xml:space="preserve">                             </w:t>
      </w:r>
    </w:p>
    <w:p>
      <w:pPr>
        <w:pageBreakBefore w:val="0"/>
        <w:widowControl w:val="0"/>
        <w:kinsoku/>
        <w:wordWrap/>
        <w:overflowPunct/>
        <w:topLinePunct w:val="0"/>
        <w:autoSpaceDE/>
        <w:autoSpaceDN/>
        <w:bidi w:val="0"/>
        <w:spacing w:line="440" w:lineRule="exact"/>
        <w:ind w:firstLine="437"/>
        <w:textAlignment w:val="auto"/>
        <w:rPr>
          <w:rFonts w:hint="default" w:ascii="仿宋_GB2312" w:hAnsi="宋体" w:eastAsia="仿宋_GB2312" w:cs="Times New Roman"/>
          <w:highlight w:val="none"/>
          <w:u w:val="single"/>
          <w:lang w:val="en-US" w:eastAsia="zh-CN"/>
        </w:rPr>
      </w:pPr>
      <w:r>
        <w:rPr>
          <w:rFonts w:hint="eastAsia" w:ascii="仿宋_GB2312" w:hAnsi="宋体" w:eastAsia="仿宋_GB2312" w:cs="Times New Roman"/>
          <w:highlight w:val="none"/>
          <w:lang w:val="en-US" w:eastAsia="zh-CN"/>
        </w:rPr>
        <w:t>联系方式:</w:t>
      </w:r>
      <w:r>
        <w:rPr>
          <w:rFonts w:hint="eastAsia" w:ascii="仿宋_GB2312" w:hAnsi="宋体" w:eastAsia="仿宋_GB2312" w:cs="Times New Roman"/>
          <w:highlight w:val="none"/>
          <w:u w:val="single"/>
          <w:lang w:val="en-US" w:eastAsia="zh-CN"/>
        </w:rPr>
        <w:t xml:space="preserve">                             </w:t>
      </w:r>
    </w:p>
    <w:p>
      <w:pPr>
        <w:spacing w:line="400" w:lineRule="exact"/>
        <w:ind w:firstLine="420" w:firstLineChars="200"/>
        <w:rPr>
          <w:rFonts w:hint="eastAsia" w:ascii="宋体" w:hAnsi="宋体" w:eastAsia="宋体" w:cs="宋体"/>
          <w:szCs w:val="24"/>
          <w:highlight w:val="none"/>
          <w:u w:val="single"/>
        </w:rPr>
      </w:pPr>
    </w:p>
    <w:p>
      <w:pPr>
        <w:spacing w:line="400" w:lineRule="exact"/>
        <w:rPr>
          <w:rFonts w:hint="eastAsia" w:ascii="宋体" w:hAnsi="宋体" w:eastAsia="宋体" w:cs="宋体"/>
          <w:szCs w:val="21"/>
          <w:highlight w:val="none"/>
        </w:rPr>
      </w:pPr>
      <w:r>
        <w:rPr>
          <w:rFonts w:hint="eastAsia" w:ascii="宋体" w:hAnsi="宋体" w:eastAsia="宋体" w:cs="宋体"/>
          <w:szCs w:val="21"/>
          <w:highlight w:val="none"/>
        </w:rPr>
        <w:t xml:space="preserve">                                                                                          </w:t>
      </w:r>
    </w:p>
    <w:p>
      <w:pPr>
        <w:spacing w:line="400" w:lineRule="exact"/>
        <w:rPr>
          <w:rFonts w:hint="eastAsia" w:ascii="宋体" w:hAnsi="宋体" w:eastAsia="宋体" w:cs="宋体"/>
          <w:color w:val="000000"/>
          <w:highlight w:val="none"/>
        </w:rPr>
      </w:pPr>
      <w:r>
        <w:rPr>
          <w:rFonts w:hint="eastAsia" w:ascii="宋体" w:hAnsi="宋体" w:eastAsia="宋体" w:cs="宋体"/>
          <w:szCs w:val="21"/>
          <w:highlight w:val="none"/>
        </w:rPr>
        <w:t>　　　　　　　　　　　　　　　　　　　　　　　　　</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年 </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pPr>
        <w:spacing w:line="400" w:lineRule="exact"/>
        <w:rPr>
          <w:rFonts w:ascii="Times New Roman" w:hAnsi="Times New Roman"/>
          <w:color w:val="000000"/>
          <w:highlight w:val="none"/>
        </w:rPr>
      </w:pPr>
      <w:r>
        <w:rPr>
          <w:rFonts w:ascii="Times New Roman" w:hAnsi="Times New Roman"/>
          <w:color w:val="000000"/>
          <w:highlight w:val="none"/>
        </w:rPr>
        <w:br w:type="page"/>
      </w:r>
    </w:p>
    <w:p>
      <w:pPr>
        <w:pStyle w:val="2"/>
        <w:spacing w:line="240" w:lineRule="auto"/>
        <w:jc w:val="center"/>
        <w:rPr>
          <w:color w:val="000000"/>
          <w:highlight w:val="none"/>
        </w:rPr>
      </w:pPr>
      <w:bookmarkStart w:id="53" w:name="_Toc79054274"/>
      <w:bookmarkStart w:id="54" w:name="_Toc2139838389"/>
      <w:r>
        <w:rPr>
          <w:color w:val="000000"/>
          <w:highlight w:val="none"/>
        </w:rPr>
        <w:t>第一章投标邀请书</w:t>
      </w:r>
      <w:bookmarkStart w:id="55" w:name="_Toc369531500"/>
      <w:bookmarkStart w:id="56" w:name="_Toc352691458"/>
      <w:bookmarkStart w:id="57" w:name="_Toc31573"/>
      <w:r>
        <w:rPr>
          <w:color w:val="000000"/>
          <w:highlight w:val="none"/>
        </w:rPr>
        <w:t>（适用于邀请招标）</w:t>
      </w:r>
      <w:bookmarkEnd w:id="53"/>
      <w:bookmarkEnd w:id="54"/>
    </w:p>
    <w:bookmarkEnd w:id="55"/>
    <w:bookmarkEnd w:id="56"/>
    <w:bookmarkEnd w:id="57"/>
    <w:p>
      <w:pPr>
        <w:spacing w:line="440" w:lineRule="exact"/>
        <w:jc w:val="center"/>
        <w:rPr>
          <w:rFonts w:ascii="Times New Roman" w:hAnsi="Times New Roman" w:eastAsia="黑体"/>
          <w:color w:val="000000"/>
          <w:sz w:val="28"/>
          <w:highlight w:val="none"/>
        </w:rPr>
      </w:pPr>
      <w:r>
        <w:rPr>
          <w:rFonts w:ascii="Times New Roman" w:hAnsi="Times New Roman" w:eastAsia="黑体"/>
          <w:sz w:val="28"/>
          <w:szCs w:val="28"/>
          <w:highlight w:val="none"/>
          <w:u w:val="single"/>
        </w:rPr>
        <w:t xml:space="preserve">        </w:t>
      </w:r>
      <w:r>
        <w:rPr>
          <w:rFonts w:ascii="Times New Roman" w:hAnsi="Times New Roman" w:eastAsia="黑体"/>
          <w:sz w:val="28"/>
          <w:szCs w:val="28"/>
          <w:highlight w:val="none"/>
        </w:rPr>
        <w:t>（项目名称）</w:t>
      </w:r>
      <w:r>
        <w:rPr>
          <w:rFonts w:ascii="Times New Roman" w:hAnsi="Times New Roman" w:eastAsia="黑体"/>
          <w:sz w:val="28"/>
          <w:szCs w:val="28"/>
          <w:highlight w:val="none"/>
          <w:u w:val="single"/>
        </w:rPr>
        <w:t xml:space="preserve">        </w:t>
      </w:r>
      <w:r>
        <w:rPr>
          <w:rFonts w:ascii="Times New Roman" w:hAnsi="Times New Roman" w:eastAsia="黑体"/>
          <w:sz w:val="28"/>
          <w:szCs w:val="28"/>
          <w:highlight w:val="none"/>
        </w:rPr>
        <w:t>（</w:t>
      </w:r>
      <w:r>
        <w:rPr>
          <w:rFonts w:hint="eastAsia" w:ascii="Times New Roman" w:hAnsi="Times New Roman" w:eastAsia="黑体"/>
          <w:sz w:val="28"/>
          <w:szCs w:val="28"/>
          <w:highlight w:val="none"/>
          <w:lang w:val="en-US" w:eastAsia="zh-CN"/>
        </w:rPr>
        <w:t>标段</w:t>
      </w:r>
      <w:r>
        <w:rPr>
          <w:rFonts w:ascii="Times New Roman" w:hAnsi="Times New Roman" w:eastAsia="黑体"/>
          <w:sz w:val="28"/>
          <w:szCs w:val="28"/>
          <w:highlight w:val="none"/>
        </w:rPr>
        <w:t>名称）</w:t>
      </w:r>
      <w:r>
        <w:rPr>
          <w:rFonts w:ascii="Times New Roman" w:hAnsi="Times New Roman" w:eastAsia="黑体"/>
          <w:sz w:val="28"/>
          <w:highlight w:val="none"/>
        </w:rPr>
        <w:t>投标邀</w:t>
      </w:r>
      <w:r>
        <w:rPr>
          <w:rFonts w:ascii="Times New Roman" w:hAnsi="Times New Roman" w:eastAsia="黑体"/>
          <w:color w:val="000000"/>
          <w:sz w:val="28"/>
          <w:highlight w:val="none"/>
        </w:rPr>
        <w:t>请书</w:t>
      </w:r>
    </w:p>
    <w:p>
      <w:pPr>
        <w:spacing w:line="440" w:lineRule="exact"/>
        <w:rPr>
          <w:rFonts w:ascii="Times New Roman" w:hAnsi="Times New Roman" w:eastAsia="黑体"/>
          <w:color w:val="000000"/>
          <w:sz w:val="27"/>
          <w:highlight w:val="none"/>
          <w:u w:val="single"/>
        </w:rPr>
      </w:pPr>
    </w:p>
    <w:p>
      <w:pPr>
        <w:spacing w:line="400" w:lineRule="exact"/>
        <w:rPr>
          <w:rFonts w:hint="eastAsia" w:ascii="仿宋_GB2312" w:hAnsi="仿宋_GB2312" w:eastAsia="仿宋_GB2312" w:cs="仿宋_GB2312"/>
          <w:color w:val="000000"/>
          <w:highlight w:val="none"/>
        </w:rPr>
      </w:pP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color w:val="000000"/>
          <w:highlight w:val="none"/>
        </w:rPr>
        <w:t>（被邀请单位名称）：</w:t>
      </w:r>
    </w:p>
    <w:p>
      <w:pPr>
        <w:pStyle w:val="3"/>
        <w:spacing w:before="120" w:beforeLines="-2147483648" w:after="120" w:afterLines="-2147483648" w:line="440" w:lineRule="exact"/>
        <w:rPr>
          <w:rFonts w:hint="eastAsia" w:ascii="黑体" w:hAnsi="黑体" w:cs="Calibri"/>
          <w:b w:val="0"/>
          <w:color w:val="000000"/>
          <w:szCs w:val="32"/>
          <w:highlight w:val="none"/>
        </w:rPr>
      </w:pPr>
      <w:bookmarkStart w:id="58" w:name="_Toc1415678675"/>
      <w:r>
        <w:rPr>
          <w:rFonts w:hint="eastAsia" w:ascii="黑体" w:hAnsi="黑体" w:cs="Calibri"/>
          <w:b w:val="0"/>
          <w:color w:val="000000"/>
          <w:szCs w:val="32"/>
          <w:highlight w:val="none"/>
        </w:rPr>
        <w:t>1. 招标条件</w:t>
      </w:r>
      <w:bookmarkEnd w:id="58"/>
    </w:p>
    <w:p>
      <w:pPr>
        <w:spacing w:line="400" w:lineRule="exact"/>
        <w:ind w:firstLine="420" w:firstLineChars="200"/>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本招标项目</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color w:val="000000"/>
          <w:highlight w:val="none"/>
        </w:rPr>
        <w:t>（项目名称）招标人为</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w:t>
      </w:r>
      <w:r>
        <w:rPr>
          <w:rFonts w:hint="eastAsia" w:ascii="仿宋_GB2312" w:hAnsi="仿宋_GB2312" w:eastAsia="仿宋_GB2312" w:cs="仿宋_GB2312"/>
          <w:color w:val="000000"/>
          <w:highlight w:val="none"/>
        </w:rPr>
        <w:t>招标项目资金来自</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color w:val="000000"/>
          <w:highlight w:val="none"/>
        </w:rPr>
        <w:t>（资金来源），出资比例</w:t>
      </w:r>
      <w:bookmarkStart w:id="59" w:name="_Toc352691459"/>
      <w:bookmarkStart w:id="60" w:name="_Toc369531501"/>
      <w:bookmarkStart w:id="61" w:name="_Toc29948"/>
      <w:r>
        <w:rPr>
          <w:rFonts w:hint="eastAsia" w:ascii="仿宋_GB2312" w:hAnsi="仿宋_GB2312" w:eastAsia="仿宋_GB2312" w:cs="仿宋_GB2312"/>
          <w:color w:val="000000"/>
          <w:highlight w:val="none"/>
        </w:rPr>
        <w:t>为</w:t>
      </w:r>
      <w:bookmarkEnd w:id="59"/>
      <w:bookmarkEnd w:id="60"/>
      <w:bookmarkEnd w:id="61"/>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color w:val="000000"/>
          <w:highlight w:val="none"/>
        </w:rPr>
        <w:t>。该</w:t>
      </w:r>
      <w:r>
        <w:rPr>
          <w:rFonts w:hint="eastAsia" w:ascii="仿宋_GB2312" w:hAnsi="仿宋_GB2312" w:eastAsia="仿宋_GB2312" w:cs="仿宋_GB2312"/>
          <w:highlight w:val="none"/>
        </w:rPr>
        <w:t>项目已具备招标条件，现邀请你单位参加</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（材料名称）采购投标。</w:t>
      </w:r>
    </w:p>
    <w:p>
      <w:pPr>
        <w:pStyle w:val="3"/>
        <w:spacing w:before="120" w:beforeLines="-2147483648" w:after="120" w:afterLines="-2147483648" w:line="440" w:lineRule="exact"/>
        <w:rPr>
          <w:rFonts w:hint="eastAsia" w:ascii="黑体" w:hAnsi="黑体" w:cs="Calibri"/>
          <w:b w:val="0"/>
          <w:color w:val="000000"/>
          <w:szCs w:val="32"/>
          <w:highlight w:val="none"/>
        </w:rPr>
      </w:pPr>
      <w:bookmarkStart w:id="62" w:name="_Toc1894270337"/>
      <w:r>
        <w:rPr>
          <w:rFonts w:hint="eastAsia" w:ascii="黑体" w:hAnsi="黑体" w:cs="Calibri"/>
          <w:b w:val="0"/>
          <w:color w:val="000000"/>
          <w:szCs w:val="32"/>
          <w:highlight w:val="none"/>
        </w:rPr>
        <w:t>2. 项目概况与招标范围</w:t>
      </w:r>
      <w:bookmarkEnd w:id="62"/>
    </w:p>
    <w:p>
      <w:pPr>
        <w:spacing w:line="400" w:lineRule="exact"/>
        <w:ind w:firstLine="420"/>
        <w:rPr>
          <w:rFonts w:hint="eastAsia" w:ascii="仿宋_GB2312" w:hAnsi="仿宋_GB2312" w:eastAsia="仿宋_GB2312" w:cs="仿宋_GB2312"/>
          <w:color w:val="000000"/>
          <w:highlight w:val="none"/>
        </w:rPr>
      </w:pP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（说明工程建设项目的建设地点、规模、建设工期、标段划分和本次招标采购材料的名称、数量、技术规格、交货地点、交货期等）</w:t>
      </w:r>
      <w:r>
        <w:rPr>
          <w:rFonts w:hint="eastAsia" w:ascii="仿宋_GB2312" w:hAnsi="仿宋_GB2312" w:eastAsia="仿宋_GB2312" w:cs="仿宋_GB2312"/>
          <w:color w:val="000000"/>
          <w:highlight w:val="none"/>
        </w:rPr>
        <w:t>。</w:t>
      </w:r>
    </w:p>
    <w:p>
      <w:pPr>
        <w:pStyle w:val="3"/>
        <w:spacing w:before="120" w:beforeLines="-2147483648" w:after="120" w:afterLines="-2147483648" w:line="440" w:lineRule="exact"/>
        <w:rPr>
          <w:rFonts w:hint="eastAsia" w:ascii="黑体" w:hAnsi="黑体" w:cs="Calibri"/>
          <w:b w:val="0"/>
          <w:color w:val="000000"/>
          <w:szCs w:val="32"/>
          <w:highlight w:val="none"/>
        </w:rPr>
      </w:pPr>
      <w:bookmarkStart w:id="63" w:name="_Toc190609565"/>
      <w:r>
        <w:rPr>
          <w:rFonts w:hint="eastAsia" w:ascii="黑体" w:hAnsi="黑体" w:cs="Calibri"/>
          <w:b w:val="0"/>
          <w:color w:val="000000"/>
          <w:szCs w:val="32"/>
          <w:highlight w:val="none"/>
        </w:rPr>
        <w:t>3. 投标人资格</w:t>
      </w:r>
      <w:bookmarkStart w:id="64" w:name="_Toc300834935"/>
      <w:bookmarkStart w:id="65" w:name="_Toc361508570"/>
      <w:bookmarkStart w:id="66" w:name="_Toc247513940"/>
      <w:bookmarkStart w:id="67" w:name="_Toc152042293"/>
      <w:bookmarkStart w:id="68" w:name="_Toc152045517"/>
      <w:bookmarkStart w:id="69" w:name="_Toc352691461"/>
      <w:bookmarkStart w:id="70" w:name="_Toc384308195"/>
      <w:bookmarkStart w:id="71" w:name="_Toc369531503"/>
      <w:bookmarkStart w:id="72" w:name="_Toc23986"/>
      <w:bookmarkStart w:id="73" w:name="_Toc247527541"/>
      <w:bookmarkStart w:id="74" w:name="_Toc144974485"/>
      <w:r>
        <w:rPr>
          <w:rFonts w:hint="eastAsia" w:ascii="黑体" w:hAnsi="黑体" w:cs="Calibri"/>
          <w:b w:val="0"/>
          <w:color w:val="000000"/>
          <w:szCs w:val="32"/>
          <w:highlight w:val="none"/>
        </w:rPr>
        <w:t>要求</w:t>
      </w:r>
      <w:bookmarkEnd w:id="63"/>
    </w:p>
    <w:bookmarkEnd w:id="64"/>
    <w:bookmarkEnd w:id="65"/>
    <w:bookmarkEnd w:id="66"/>
    <w:bookmarkEnd w:id="67"/>
    <w:bookmarkEnd w:id="68"/>
    <w:bookmarkEnd w:id="69"/>
    <w:bookmarkEnd w:id="70"/>
    <w:bookmarkEnd w:id="71"/>
    <w:bookmarkEnd w:id="72"/>
    <w:bookmarkEnd w:id="73"/>
    <w:bookmarkEnd w:id="74"/>
    <w:p>
      <w:pPr>
        <w:spacing w:line="400" w:lineRule="exact"/>
        <w:ind w:firstLine="42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rPr>
        <w:t>3.1 本次招标要求投标人须具备</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资质、</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业绩，并具有与本招标项目相应的供货能力。</w:t>
      </w:r>
    </w:p>
    <w:p>
      <w:pPr>
        <w:spacing w:line="400" w:lineRule="exact"/>
        <w:ind w:firstLine="42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rPr>
        <w:t>3.</w:t>
      </w:r>
      <w:r>
        <w:rPr>
          <w:rFonts w:hint="eastAsia" w:ascii="仿宋_GB2312" w:hAnsi="仿宋_GB2312" w:eastAsia="仿宋_GB2312" w:cs="仿宋_GB2312"/>
          <w:highlight w:val="none"/>
          <w:lang w:val="en-US" w:eastAsia="zh-CN"/>
        </w:rPr>
        <w:t>2</w:t>
      </w:r>
      <w:r>
        <w:rPr>
          <w:rFonts w:hint="eastAsia" w:ascii="仿宋_GB2312" w:hAnsi="仿宋_GB2312" w:eastAsia="仿宋_GB2312" w:cs="仿宋_GB2312"/>
          <w:highlight w:val="none"/>
        </w:rPr>
        <w:t xml:space="preserve"> 本次招标</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（接受或不接受）联合体投标。联合体投标的，应满足下列要求：</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w:t>
      </w:r>
    </w:p>
    <w:p>
      <w:pPr>
        <w:spacing w:line="400" w:lineRule="exact"/>
        <w:ind w:firstLine="420" w:firstLineChars="200"/>
        <w:rPr>
          <w:rFonts w:hint="eastAsia" w:ascii="仿宋_GB2312" w:hAnsi="仿宋_GB2312" w:eastAsia="仿宋_GB2312" w:cs="仿宋_GB2312"/>
          <w:color w:val="000000"/>
          <w:highlight w:val="none"/>
        </w:rPr>
      </w:pPr>
      <w:r>
        <w:rPr>
          <w:rFonts w:hint="eastAsia" w:ascii="仿宋_GB2312" w:hAnsi="仿宋_GB2312" w:eastAsia="仿宋_GB2312" w:cs="仿宋_GB2312"/>
          <w:highlight w:val="none"/>
        </w:rPr>
        <w:t>3.</w:t>
      </w:r>
      <w:r>
        <w:rPr>
          <w:rFonts w:hint="eastAsia" w:ascii="仿宋_GB2312" w:hAnsi="仿宋_GB2312" w:eastAsia="仿宋_GB2312" w:cs="仿宋_GB2312"/>
          <w:highlight w:val="none"/>
          <w:lang w:val="en-US" w:eastAsia="zh-CN"/>
        </w:rPr>
        <w:t>3</w:t>
      </w:r>
      <w:r>
        <w:rPr>
          <w:rFonts w:hint="eastAsia" w:ascii="仿宋_GB2312" w:hAnsi="仿宋_GB2312" w:eastAsia="仿宋_GB2312" w:cs="仿宋_GB2312"/>
          <w:highlight w:val="none"/>
        </w:rPr>
        <w:t xml:space="preserve"> 一个制造商对同一品牌同一型号的材料，仅能委托一个代理商参加投标。</w:t>
      </w:r>
    </w:p>
    <w:p>
      <w:pPr>
        <w:pStyle w:val="3"/>
        <w:spacing w:before="120" w:beforeLines="-2147483648" w:after="120" w:afterLines="-2147483648" w:line="440" w:lineRule="exact"/>
        <w:rPr>
          <w:rFonts w:hint="eastAsia" w:ascii="黑体" w:hAnsi="黑体" w:cs="Calibri"/>
          <w:b w:val="0"/>
          <w:color w:val="000000"/>
          <w:szCs w:val="32"/>
          <w:highlight w:val="none"/>
        </w:rPr>
      </w:pPr>
      <w:bookmarkStart w:id="75" w:name="_Toc1627504593"/>
      <w:r>
        <w:rPr>
          <w:rFonts w:hint="eastAsia" w:ascii="黑体" w:hAnsi="黑体" w:cs="Calibri"/>
          <w:b w:val="0"/>
          <w:color w:val="000000"/>
          <w:szCs w:val="32"/>
          <w:highlight w:val="none"/>
        </w:rPr>
        <w:t>4. 招标文件的获取</w:t>
      </w:r>
      <w:bookmarkEnd w:id="75"/>
    </w:p>
    <w:p>
      <w:pPr>
        <w:spacing w:line="400" w:lineRule="exact"/>
        <w:ind w:firstLine="420" w:firstLineChars="20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rPr>
        <w:t>4.1获取时间：</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年</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月</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日至</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年</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月</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日。</w:t>
      </w:r>
    </w:p>
    <w:p>
      <w:pPr>
        <w:spacing w:line="400" w:lineRule="exact"/>
        <w:ind w:firstLine="420" w:firstLineChars="20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rPr>
        <w:t>4.2获取方式：潜在投标人须登录</w:t>
      </w:r>
      <w:r>
        <w:rPr>
          <w:rFonts w:hint="eastAsia" w:ascii="仿宋_GB2312" w:hAnsi="仿宋_GB2312" w:eastAsia="仿宋_GB2312" w:cs="仿宋_GB2312"/>
          <w:b/>
          <w:highlight w:val="none"/>
          <w:u w:val="single"/>
        </w:rPr>
        <w:t>西藏自治区公共资源交易平台（通过西藏自治区公共资源交易网登陆，网址：ggzy.xizang.gov.cn）</w:t>
      </w:r>
      <w:r>
        <w:rPr>
          <w:rFonts w:hint="eastAsia" w:ascii="仿宋_GB2312" w:hAnsi="仿宋_GB2312" w:eastAsia="仿宋_GB2312" w:cs="仿宋_GB2312"/>
          <w:highlight w:val="none"/>
        </w:rPr>
        <w:t>（说明：电子交易系统或电子服务系统） 查阅招标文件。在</w:t>
      </w:r>
      <w:r>
        <w:rPr>
          <w:rFonts w:hint="eastAsia" w:ascii="仿宋_GB2312" w:hAnsi="仿宋_GB2312" w:eastAsia="仿宋_GB2312" w:cs="仿宋_GB2312"/>
          <w:b/>
          <w:highlight w:val="none"/>
          <w:u w:val="single"/>
        </w:rPr>
        <w:t>西藏自治区公共资源交易平台（http://218.206.180.154:8081/gb-web/#/login）（购买网址）</w:t>
      </w:r>
      <w:r>
        <w:rPr>
          <w:rFonts w:hint="eastAsia" w:ascii="仿宋_GB2312" w:hAnsi="仿宋_GB2312" w:eastAsia="仿宋_GB2312" w:cs="仿宋_GB2312"/>
          <w:highlight w:val="none"/>
          <w:lang w:eastAsia="zh-CN"/>
        </w:rPr>
        <w:t>获取招标文件</w:t>
      </w:r>
      <w:r>
        <w:rPr>
          <w:rFonts w:hint="eastAsia" w:ascii="仿宋_GB2312" w:hAnsi="仿宋_GB2312" w:eastAsia="仿宋_GB2312" w:cs="仿宋_GB2312"/>
          <w:highlight w:val="none"/>
        </w:rPr>
        <w:t>。</w:t>
      </w:r>
    </w:p>
    <w:p>
      <w:pPr>
        <w:pStyle w:val="3"/>
        <w:spacing w:before="120" w:beforeLines="-2147483648" w:after="120" w:afterLines="-2147483648" w:line="440" w:lineRule="exact"/>
        <w:rPr>
          <w:rFonts w:hint="eastAsia" w:ascii="黑体" w:hAnsi="黑体" w:cs="Calibri"/>
          <w:b w:val="0"/>
          <w:color w:val="000000"/>
          <w:szCs w:val="32"/>
          <w:highlight w:val="none"/>
        </w:rPr>
      </w:pPr>
      <w:bookmarkStart w:id="76" w:name="_Toc540040374"/>
      <w:r>
        <w:rPr>
          <w:rFonts w:hint="eastAsia" w:ascii="黑体" w:hAnsi="黑体" w:cs="Calibri"/>
          <w:b w:val="0"/>
          <w:color w:val="000000"/>
          <w:szCs w:val="32"/>
          <w:highlight w:val="none"/>
        </w:rPr>
        <w:t>5. 投标文件的递交</w:t>
      </w:r>
      <w:bookmarkEnd w:id="76"/>
    </w:p>
    <w:p>
      <w:pPr>
        <w:tabs>
          <w:tab w:val="left" w:pos="360"/>
        </w:tabs>
        <w:spacing w:line="400" w:lineRule="exact"/>
        <w:ind w:firstLine="420" w:firstLineChars="200"/>
        <w:rPr>
          <w:rFonts w:hint="eastAsia" w:ascii="仿宋_GB2312" w:hAnsi="仿宋_GB2312" w:eastAsia="仿宋_GB2312" w:cs="仿宋_GB2312"/>
          <w:highlight w:val="none"/>
        </w:rPr>
      </w:pPr>
      <w:bookmarkStart w:id="77" w:name="_Toc392227741"/>
      <w:r>
        <w:rPr>
          <w:rFonts w:hint="eastAsia" w:ascii="仿宋_GB2312" w:hAnsi="仿宋_GB2312" w:eastAsia="仿宋_GB2312" w:cs="仿宋_GB2312"/>
          <w:highlight w:val="none"/>
        </w:rPr>
        <w:t>5.1投标文件递交的截止时间（投标截止时间，下同）为</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年</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月</w:t>
      </w:r>
    </w:p>
    <w:p>
      <w:pPr>
        <w:tabs>
          <w:tab w:val="left" w:pos="360"/>
        </w:tabs>
        <w:spacing w:line="40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日</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时</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分，投标人应在截止时间前通过</w:t>
      </w:r>
      <w:r>
        <w:rPr>
          <w:rFonts w:hint="eastAsia" w:ascii="仿宋_GB2312" w:hAnsi="仿宋_GB2312" w:eastAsia="仿宋_GB2312" w:cs="仿宋_GB2312"/>
          <w:b/>
          <w:i/>
          <w:iCs/>
          <w:snapToGrid w:val="0"/>
          <w:kern w:val="0"/>
          <w:szCs w:val="21"/>
          <w:highlight w:val="none"/>
          <w:u w:val="single"/>
        </w:rPr>
        <w:t>西藏自治区公共资源交易平台（通过西藏自治区公共资源交易网登陆，网址：</w:t>
      </w:r>
      <w:r>
        <w:rPr>
          <w:rFonts w:hint="eastAsia" w:ascii="仿宋_GB2312" w:hAnsi="仿宋_GB2312" w:eastAsia="仿宋_GB2312" w:cs="仿宋_GB2312"/>
          <w:b/>
          <w:i/>
          <w:iCs/>
          <w:snapToGrid w:val="0"/>
          <w:kern w:val="0"/>
          <w:szCs w:val="21"/>
          <w:highlight w:val="none"/>
          <w:u w:val="single"/>
          <w:lang w:val="en"/>
        </w:rPr>
        <w:t>ggzy.xizang.gov.cn</w:t>
      </w:r>
      <w:r>
        <w:rPr>
          <w:rFonts w:hint="eastAsia" w:ascii="仿宋_GB2312" w:hAnsi="仿宋_GB2312" w:eastAsia="仿宋_GB2312" w:cs="仿宋_GB2312"/>
          <w:b/>
          <w:i/>
          <w:iCs/>
          <w:snapToGrid w:val="0"/>
          <w:kern w:val="0"/>
          <w:szCs w:val="21"/>
          <w:highlight w:val="none"/>
          <w:u w:val="single"/>
        </w:rPr>
        <w:t>）</w:t>
      </w:r>
      <w:r>
        <w:rPr>
          <w:rFonts w:hint="eastAsia" w:ascii="仿宋_GB2312" w:hAnsi="仿宋_GB2312" w:eastAsia="仿宋_GB2312" w:cs="仿宋_GB2312"/>
          <w:szCs w:val="21"/>
          <w:highlight w:val="none"/>
          <w:u w:val="single"/>
        </w:rPr>
        <w:t xml:space="preserve"> </w:t>
      </w:r>
      <w:r>
        <w:rPr>
          <w:rFonts w:hint="eastAsia" w:ascii="仿宋_GB2312" w:hAnsi="仿宋_GB2312" w:eastAsia="仿宋_GB2312" w:cs="仿宋_GB2312"/>
          <w:szCs w:val="21"/>
          <w:highlight w:val="none"/>
        </w:rPr>
        <w:t>（电子交易系统）</w:t>
      </w:r>
      <w:r>
        <w:rPr>
          <w:rFonts w:hint="eastAsia" w:ascii="仿宋_GB2312" w:hAnsi="仿宋_GB2312" w:eastAsia="仿宋_GB2312" w:cs="仿宋_GB2312"/>
          <w:highlight w:val="none"/>
        </w:rPr>
        <w:t>递交电子投标文件。</w:t>
      </w:r>
    </w:p>
    <w:p>
      <w:pPr>
        <w:tabs>
          <w:tab w:val="left" w:pos="360"/>
        </w:tabs>
        <w:spacing w:line="400" w:lineRule="exact"/>
        <w:ind w:firstLine="42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rPr>
        <w:t>5.2 逾期送达的投标文件，电子招标投标交易平台将予以拒收。</w:t>
      </w:r>
    </w:p>
    <w:bookmarkEnd w:id="77"/>
    <w:p>
      <w:pPr>
        <w:pStyle w:val="3"/>
        <w:spacing w:before="120" w:beforeLines="-2147483648" w:after="120" w:afterLines="-2147483648" w:line="440" w:lineRule="exact"/>
        <w:rPr>
          <w:rFonts w:hint="eastAsia" w:ascii="黑体" w:hAnsi="黑体" w:cs="Calibri"/>
          <w:b w:val="0"/>
          <w:color w:val="000000"/>
          <w:szCs w:val="32"/>
          <w:highlight w:val="none"/>
        </w:rPr>
      </w:pPr>
      <w:bookmarkStart w:id="78" w:name="_Toc336074188"/>
      <w:r>
        <w:rPr>
          <w:rFonts w:hint="eastAsia" w:ascii="黑体" w:hAnsi="黑体" w:cs="Calibri"/>
          <w:b w:val="0"/>
          <w:color w:val="000000"/>
          <w:szCs w:val="32"/>
          <w:highlight w:val="none"/>
        </w:rPr>
        <w:t>6.开标时间及地点</w:t>
      </w:r>
      <w:bookmarkEnd w:id="78"/>
    </w:p>
    <w:p>
      <w:pPr>
        <w:spacing w:line="400" w:lineRule="exact"/>
        <w:ind w:firstLine="420" w:firstLineChars="200"/>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6.1开标时间：同投标截止时间。</w:t>
      </w:r>
    </w:p>
    <w:p>
      <w:pPr>
        <w:spacing w:line="400" w:lineRule="exact"/>
        <w:ind w:firstLine="420" w:firstLineChars="200"/>
        <w:jc w:val="left"/>
        <w:rPr>
          <w:rFonts w:hint="eastAsia" w:ascii="仿宋_GB2312" w:hAnsi="仿宋_GB2312" w:eastAsia="仿宋_GB2312" w:cs="仿宋_GB2312"/>
          <w:b/>
          <w:bCs/>
          <w:i/>
          <w:iCs/>
          <w:snapToGrid w:val="0"/>
          <w:kern w:val="0"/>
          <w:szCs w:val="21"/>
          <w:highlight w:val="none"/>
        </w:rPr>
      </w:pPr>
      <w:r>
        <w:rPr>
          <w:rFonts w:hint="eastAsia" w:ascii="仿宋_GB2312" w:hAnsi="仿宋_GB2312" w:eastAsia="仿宋_GB2312" w:cs="仿宋_GB2312"/>
          <w:szCs w:val="21"/>
          <w:highlight w:val="none"/>
        </w:rPr>
        <w:t>6.2开标地点：</w:t>
      </w:r>
      <w:r>
        <w:rPr>
          <w:rFonts w:hint="eastAsia" w:ascii="仿宋_GB2312" w:hAnsi="仿宋_GB2312" w:eastAsia="仿宋_GB2312" w:cs="仿宋_GB2312"/>
          <w:b/>
          <w:bCs/>
          <w:i/>
          <w:iCs/>
          <w:szCs w:val="24"/>
          <w:highlight w:val="none"/>
          <w:u w:val="single"/>
        </w:rPr>
        <w:t>西藏自治区公共资源交易平台不见面开标大厅（可登录西藏自治区公共资源交易平台访问）</w:t>
      </w:r>
      <w:r>
        <w:rPr>
          <w:rFonts w:hint="eastAsia" w:ascii="仿宋_GB2312" w:hAnsi="仿宋_GB2312" w:eastAsia="仿宋_GB2312" w:cs="仿宋_GB2312"/>
          <w:b/>
          <w:bCs/>
          <w:i/>
          <w:iCs/>
          <w:sz w:val="28"/>
          <w:szCs w:val="28"/>
          <w:highlight w:val="none"/>
          <w:u w:val="single"/>
        </w:rPr>
        <w:t xml:space="preserve"> </w:t>
      </w:r>
      <w:r>
        <w:rPr>
          <w:rFonts w:hint="eastAsia" w:ascii="仿宋_GB2312" w:hAnsi="仿宋_GB2312" w:eastAsia="仿宋_GB2312" w:cs="仿宋_GB2312"/>
          <w:b/>
          <w:bCs/>
          <w:i/>
          <w:iCs/>
          <w:snapToGrid w:val="0"/>
          <w:kern w:val="0"/>
          <w:szCs w:val="21"/>
          <w:highlight w:val="none"/>
        </w:rPr>
        <w:t>。</w:t>
      </w:r>
    </w:p>
    <w:p>
      <w:pPr>
        <w:pStyle w:val="3"/>
        <w:spacing w:before="120" w:beforeLines="-2147483648" w:after="120" w:afterLines="-2147483648" w:line="440" w:lineRule="exact"/>
        <w:rPr>
          <w:rFonts w:hint="eastAsia" w:ascii="黑体" w:hAnsi="黑体" w:cs="Calibri"/>
          <w:b w:val="0"/>
          <w:color w:val="000000"/>
          <w:szCs w:val="32"/>
          <w:highlight w:val="none"/>
        </w:rPr>
      </w:pPr>
      <w:bookmarkStart w:id="79" w:name="_Toc1277358483"/>
      <w:r>
        <w:rPr>
          <w:rFonts w:hint="eastAsia" w:ascii="黑体" w:hAnsi="黑体" w:cs="Calibri"/>
          <w:b w:val="0"/>
          <w:color w:val="000000"/>
          <w:szCs w:val="32"/>
          <w:highlight w:val="none"/>
        </w:rPr>
        <w:t>7. 确认</w:t>
      </w:r>
      <w:bookmarkEnd w:id="79"/>
    </w:p>
    <w:p>
      <w:pPr>
        <w:spacing w:line="400" w:lineRule="exact"/>
        <w:ind w:firstLine="420" w:firstLineChars="200"/>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你单位收到本邀请书后，请于</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color w:val="000000"/>
          <w:szCs w:val="21"/>
          <w:highlight w:val="none"/>
        </w:rPr>
        <w:t>年</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color w:val="000000"/>
          <w:szCs w:val="21"/>
          <w:highlight w:val="none"/>
        </w:rPr>
        <w:t>月</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color w:val="000000"/>
          <w:szCs w:val="21"/>
          <w:highlight w:val="none"/>
        </w:rPr>
        <w:t>日</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color w:val="000000"/>
          <w:szCs w:val="21"/>
          <w:highlight w:val="none"/>
        </w:rPr>
        <w:t>时前，以书面形式确认是否参加投标。在本邀请书规定的时间内未表示是否参加投标或明确表示不参加投标的，不得再参加投标。</w:t>
      </w:r>
    </w:p>
    <w:p>
      <w:pPr>
        <w:pStyle w:val="3"/>
        <w:keepNext/>
        <w:keepLines/>
        <w:spacing w:before="120" w:beforeLines="-2147483648" w:after="120" w:afterLines="-2147483648" w:line="440" w:lineRule="exact"/>
        <w:outlineLvl w:val="1"/>
        <w:rPr>
          <w:rFonts w:hint="eastAsia" w:ascii="黑体" w:hAnsi="黑体" w:eastAsia="黑体" w:cs="Calibri"/>
          <w:b w:val="0"/>
          <w:sz w:val="32"/>
          <w:szCs w:val="32"/>
          <w:highlight w:val="none"/>
        </w:rPr>
      </w:pPr>
      <w:bookmarkStart w:id="80" w:name="_Toc991183605"/>
      <w:bookmarkStart w:id="81" w:name="_Toc1406975223"/>
      <w:r>
        <w:rPr>
          <w:rFonts w:hint="eastAsia" w:ascii="黑体" w:hAnsi="黑体" w:eastAsia="黑体" w:cs="Calibri"/>
          <w:b w:val="0"/>
          <w:sz w:val="32"/>
          <w:szCs w:val="32"/>
          <w:highlight w:val="none"/>
        </w:rPr>
        <w:t>8. 注意事项</w:t>
      </w:r>
      <w:bookmarkEnd w:id="80"/>
      <w:bookmarkEnd w:id="81"/>
    </w:p>
    <w:p>
      <w:pPr>
        <w:autoSpaceDE w:val="0"/>
        <w:autoSpaceDN w:val="0"/>
        <w:adjustRightInd w:val="0"/>
        <w:spacing w:line="440" w:lineRule="exact"/>
        <w:ind w:firstLine="462" w:firstLineChars="220"/>
        <w:jc w:val="left"/>
        <w:rPr>
          <w:rFonts w:hint="eastAsia" w:ascii="仿宋_GB2312" w:hAnsi="仿宋_GB2312" w:eastAsia="仿宋_GB2312" w:cs="仿宋_GB2312"/>
          <w:kern w:val="0"/>
          <w:szCs w:val="21"/>
          <w:highlight w:val="none"/>
        </w:rPr>
      </w:pPr>
      <w:r>
        <w:rPr>
          <w:rFonts w:hint="eastAsia" w:ascii="仿宋_GB2312" w:hAnsi="仿宋_GB2312" w:eastAsia="仿宋_GB2312" w:cs="仿宋_GB2312"/>
          <w:kern w:val="0"/>
          <w:szCs w:val="21"/>
          <w:highlight w:val="none"/>
        </w:rPr>
        <w:t>8.1 投标人应合理安排招标文件获取及交费时间，特别是网络速度慢的地区防止在系统关闭前网络拥堵无法操作。如果因计算机及网络故障造成无法完成招标文件获取及交费，责任自负。</w:t>
      </w:r>
    </w:p>
    <w:p>
      <w:pPr>
        <w:autoSpaceDE w:val="0"/>
        <w:autoSpaceDN w:val="0"/>
        <w:adjustRightInd w:val="0"/>
        <w:spacing w:line="440" w:lineRule="exact"/>
        <w:ind w:firstLine="420" w:firstLineChars="200"/>
        <w:jc w:val="left"/>
        <w:rPr>
          <w:rFonts w:hint="eastAsia" w:ascii="仿宋_GB2312" w:hAnsi="仿宋_GB2312" w:eastAsia="仿宋_GB2312" w:cs="仿宋_GB2312"/>
          <w:kern w:val="0"/>
          <w:szCs w:val="21"/>
          <w:highlight w:val="none"/>
        </w:rPr>
      </w:pPr>
      <w:r>
        <w:rPr>
          <w:rFonts w:hint="eastAsia" w:ascii="仿宋_GB2312" w:hAnsi="仿宋_GB2312" w:eastAsia="仿宋_GB2312" w:cs="仿宋_GB2312"/>
          <w:kern w:val="0"/>
          <w:szCs w:val="21"/>
          <w:highlight w:val="none"/>
        </w:rPr>
        <w:t>8.2 投标</w:t>
      </w:r>
      <w:r>
        <w:rPr>
          <w:rFonts w:hint="eastAsia" w:ascii="仿宋_GB2312" w:hAnsi="仿宋_GB2312" w:eastAsia="仿宋_GB2312" w:cs="仿宋_GB2312"/>
          <w:kern w:val="0"/>
          <w:szCs w:val="21"/>
          <w:highlight w:val="none"/>
          <w:lang w:val="en-US" w:eastAsia="zh-CN"/>
        </w:rPr>
        <w:t>人</w:t>
      </w:r>
      <w:r>
        <w:rPr>
          <w:rFonts w:hint="eastAsia" w:ascii="仿宋_GB2312" w:hAnsi="仿宋_GB2312" w:eastAsia="仿宋_GB2312" w:cs="仿宋_GB2312"/>
          <w:kern w:val="0"/>
          <w:szCs w:val="21"/>
          <w:highlight w:val="none"/>
        </w:rPr>
        <w:t>在投标时需要上传</w:t>
      </w:r>
      <w:r>
        <w:rPr>
          <w:rFonts w:hint="eastAsia" w:ascii="仿宋_GB2312" w:hAnsi="仿宋_GB2312" w:eastAsia="仿宋_GB2312" w:cs="仿宋_GB2312"/>
          <w:kern w:val="0"/>
          <w:szCs w:val="21"/>
          <w:highlight w:val="none"/>
          <w:lang w:val="en-US" w:eastAsia="zh-CN"/>
        </w:rPr>
        <w:t>加密的</w:t>
      </w:r>
      <w:r>
        <w:rPr>
          <w:rFonts w:hint="eastAsia" w:ascii="仿宋_GB2312" w:hAnsi="仿宋_GB2312" w:eastAsia="仿宋_GB2312" w:cs="仿宋_GB2312"/>
          <w:kern w:val="0"/>
          <w:szCs w:val="21"/>
          <w:highlight w:val="none"/>
        </w:rPr>
        <w:t>电子投标文件至</w:t>
      </w:r>
      <w:r>
        <w:rPr>
          <w:rFonts w:hint="eastAsia" w:ascii="仿宋_GB2312" w:hAnsi="仿宋_GB2312" w:eastAsia="仿宋_GB2312" w:cs="仿宋_GB2312"/>
          <w:kern w:val="0"/>
          <w:szCs w:val="21"/>
          <w:highlight w:val="none"/>
          <w:lang w:val="en-US" w:eastAsia="zh-CN"/>
        </w:rPr>
        <w:t>电子交易</w:t>
      </w:r>
      <w:r>
        <w:rPr>
          <w:rFonts w:hint="eastAsia" w:ascii="仿宋_GB2312" w:hAnsi="仿宋_GB2312" w:eastAsia="仿宋_GB2312" w:cs="仿宋_GB2312"/>
          <w:kern w:val="0"/>
          <w:szCs w:val="21"/>
          <w:highlight w:val="none"/>
        </w:rPr>
        <w:t>系统中，并在西藏自治区公共资源交易平台不见面开标大厅（可登录西藏自治区公共资源交易平台访问）用制作电子投标文件的企业CA锁，解密上传的电子投标文件。</w:t>
      </w:r>
    </w:p>
    <w:p>
      <w:pPr>
        <w:autoSpaceDE w:val="0"/>
        <w:autoSpaceDN w:val="0"/>
        <w:adjustRightInd w:val="0"/>
        <w:spacing w:line="440" w:lineRule="exact"/>
        <w:ind w:firstLine="420" w:firstLineChars="200"/>
        <w:jc w:val="left"/>
        <w:rPr>
          <w:rFonts w:hint="eastAsia" w:ascii="仿宋_GB2312" w:hAnsi="仿宋_GB2312" w:eastAsia="仿宋_GB2312" w:cs="仿宋_GB2312"/>
          <w:kern w:val="0"/>
          <w:szCs w:val="21"/>
          <w:highlight w:val="none"/>
        </w:rPr>
      </w:pPr>
      <w:r>
        <w:rPr>
          <w:rFonts w:hint="eastAsia" w:ascii="仿宋_GB2312" w:hAnsi="仿宋_GB2312" w:eastAsia="仿宋_GB2312" w:cs="仿宋_GB2312"/>
          <w:bCs/>
          <w:snapToGrid w:val="0"/>
          <w:kern w:val="0"/>
          <w:szCs w:val="21"/>
          <w:highlight w:val="none"/>
          <w:lang w:val="en-US" w:eastAsia="zh-CN"/>
        </w:rPr>
        <w:t>8.3</w:t>
      </w:r>
      <w:r>
        <w:rPr>
          <w:rFonts w:hint="eastAsia" w:ascii="仿宋_GB2312" w:hAnsi="仿宋_GB2312" w:eastAsia="仿宋_GB2312" w:cs="仿宋_GB2312"/>
          <w:bCs/>
          <w:snapToGrid w:val="0"/>
          <w:kern w:val="0"/>
          <w:szCs w:val="21"/>
          <w:highlight w:val="none"/>
        </w:rPr>
        <w:t>因投标人原因造成投标文件未解密的，视为撤销其投标文件；因投标人之外的原因造成投标文件未解密的，视为撤回其投标文件，投标人有权要求责任方赔偿因此遭受的直接损失。部分投标文件未解密的，其他投标文件的开标可以继续进行。</w:t>
      </w:r>
    </w:p>
    <w:p>
      <w:pPr>
        <w:autoSpaceDE w:val="0"/>
        <w:autoSpaceDN w:val="0"/>
        <w:adjustRightInd w:val="0"/>
        <w:spacing w:line="440" w:lineRule="exact"/>
        <w:ind w:firstLine="420" w:firstLineChars="200"/>
        <w:jc w:val="left"/>
        <w:rPr>
          <w:rFonts w:hint="eastAsia" w:ascii="仿宋_GB2312" w:hAnsi="仿宋_GB2312" w:eastAsia="仿宋_GB2312" w:cs="仿宋_GB2312"/>
          <w:kern w:val="0"/>
          <w:szCs w:val="21"/>
          <w:highlight w:val="none"/>
        </w:rPr>
      </w:pPr>
      <w:r>
        <w:rPr>
          <w:rFonts w:hint="eastAsia" w:ascii="仿宋_GB2312" w:hAnsi="仿宋_GB2312" w:eastAsia="仿宋_GB2312" w:cs="仿宋_GB2312"/>
          <w:kern w:val="0"/>
          <w:szCs w:val="21"/>
          <w:highlight w:val="none"/>
          <w:lang w:eastAsia="zh-CN"/>
        </w:rPr>
        <w:t>8</w:t>
      </w:r>
      <w:r>
        <w:rPr>
          <w:rFonts w:hint="eastAsia" w:ascii="仿宋_GB2312" w:hAnsi="仿宋_GB2312" w:eastAsia="仿宋_GB2312" w:cs="仿宋_GB2312"/>
          <w:kern w:val="0"/>
          <w:szCs w:val="21"/>
          <w:highlight w:val="none"/>
        </w:rPr>
        <w:t>.</w:t>
      </w:r>
      <w:r>
        <w:rPr>
          <w:rFonts w:hint="eastAsia" w:ascii="仿宋_GB2312" w:hAnsi="仿宋_GB2312" w:eastAsia="仿宋_GB2312" w:cs="仿宋_GB2312"/>
          <w:kern w:val="0"/>
          <w:szCs w:val="21"/>
          <w:highlight w:val="none"/>
          <w:lang w:eastAsia="zh-CN"/>
        </w:rPr>
        <w:t>4</w:t>
      </w:r>
      <w:r>
        <w:rPr>
          <w:rFonts w:hint="eastAsia" w:ascii="仿宋_GB2312" w:hAnsi="仿宋_GB2312" w:eastAsia="仿宋_GB2312" w:cs="仿宋_GB2312"/>
          <w:kern w:val="0"/>
          <w:szCs w:val="21"/>
          <w:highlight w:val="none"/>
        </w:rPr>
        <w:t xml:space="preserve"> 其他：</w:t>
      </w:r>
      <w:r>
        <w:rPr>
          <w:rFonts w:hint="eastAsia" w:ascii="仿宋_GB2312" w:hAnsi="仿宋_GB2312" w:eastAsia="仿宋_GB2312" w:cs="仿宋_GB2312"/>
          <w:kern w:val="0"/>
          <w:szCs w:val="21"/>
          <w:highlight w:val="none"/>
          <w:u w:val="single"/>
        </w:rPr>
        <w:t xml:space="preserve">                            </w:t>
      </w:r>
      <w:r>
        <w:rPr>
          <w:rFonts w:hint="eastAsia" w:ascii="仿宋_GB2312" w:hAnsi="仿宋_GB2312" w:eastAsia="仿宋_GB2312" w:cs="仿宋_GB2312"/>
          <w:kern w:val="0"/>
          <w:szCs w:val="21"/>
          <w:highlight w:val="none"/>
        </w:rPr>
        <w:t>。</w:t>
      </w:r>
    </w:p>
    <w:p>
      <w:pPr>
        <w:pStyle w:val="3"/>
        <w:keepNext/>
        <w:keepLines/>
        <w:spacing w:before="120" w:beforeLines="-2147483648" w:after="120" w:afterLines="-2147483648" w:line="440" w:lineRule="exact"/>
        <w:outlineLvl w:val="1"/>
        <w:rPr>
          <w:rFonts w:hint="eastAsia" w:ascii="黑体" w:hAnsi="黑体" w:eastAsia="黑体" w:cs="Calibri"/>
          <w:b w:val="0"/>
          <w:sz w:val="32"/>
          <w:szCs w:val="32"/>
          <w:highlight w:val="none"/>
        </w:rPr>
      </w:pPr>
      <w:bookmarkStart w:id="82" w:name="_Toc113682025"/>
      <w:bookmarkStart w:id="83" w:name="_Toc801422965"/>
      <w:r>
        <w:rPr>
          <w:rFonts w:hint="eastAsia" w:ascii="黑体" w:hAnsi="黑体" w:eastAsia="黑体" w:cs="Calibri"/>
          <w:b w:val="0"/>
          <w:sz w:val="32"/>
          <w:szCs w:val="32"/>
          <w:highlight w:val="none"/>
        </w:rPr>
        <w:t>9. 联系方式</w:t>
      </w:r>
      <w:bookmarkEnd w:id="82"/>
      <w:bookmarkEnd w:id="83"/>
    </w:p>
    <w:p>
      <w:pPr>
        <w:spacing w:line="440" w:lineRule="exact"/>
        <w:ind w:firstLine="437"/>
        <w:rPr>
          <w:rFonts w:hint="eastAsia" w:ascii="宋体" w:hAnsi="宋体" w:eastAsia="宋体" w:cs="宋体"/>
          <w:szCs w:val="24"/>
          <w:highlight w:val="none"/>
          <w:u w:val="single"/>
        </w:rPr>
      </w:pPr>
      <w:r>
        <w:rPr>
          <w:rFonts w:hint="eastAsia" w:ascii="宋体" w:hAnsi="宋体" w:eastAsia="宋体" w:cs="宋体"/>
          <w:szCs w:val="24"/>
          <w:highlight w:val="none"/>
        </w:rPr>
        <w:t>招 标 人：</w:t>
      </w:r>
      <w:r>
        <w:rPr>
          <w:rFonts w:hint="eastAsia" w:ascii="宋体" w:hAnsi="宋体" w:eastAsia="宋体" w:cs="宋体"/>
          <w:szCs w:val="24"/>
          <w:highlight w:val="none"/>
          <w:u w:val="single"/>
        </w:rPr>
        <w:t xml:space="preserve">                            </w:t>
      </w:r>
    </w:p>
    <w:p>
      <w:pPr>
        <w:spacing w:line="440" w:lineRule="exact"/>
        <w:ind w:firstLine="437"/>
        <w:rPr>
          <w:rFonts w:hint="eastAsia" w:ascii="宋体" w:hAnsi="宋体" w:eastAsia="宋体" w:cs="宋体"/>
          <w:szCs w:val="24"/>
          <w:highlight w:val="none"/>
          <w:u w:val="single"/>
        </w:rPr>
      </w:pPr>
      <w:r>
        <w:rPr>
          <w:rFonts w:hint="eastAsia" w:ascii="宋体" w:hAnsi="宋体" w:eastAsia="宋体" w:cs="宋体"/>
          <w:szCs w:val="24"/>
          <w:highlight w:val="none"/>
        </w:rPr>
        <w:t>地    址：</w:t>
      </w:r>
      <w:r>
        <w:rPr>
          <w:rFonts w:hint="eastAsia" w:ascii="宋体" w:hAnsi="宋体" w:eastAsia="宋体" w:cs="宋体"/>
          <w:szCs w:val="24"/>
          <w:highlight w:val="none"/>
          <w:u w:val="single"/>
        </w:rPr>
        <w:t xml:space="preserve">                            </w:t>
      </w:r>
    </w:p>
    <w:p>
      <w:pPr>
        <w:spacing w:line="440" w:lineRule="exact"/>
        <w:ind w:firstLine="437"/>
        <w:rPr>
          <w:rFonts w:hint="eastAsia" w:ascii="宋体" w:hAnsi="宋体" w:eastAsia="宋体" w:cs="宋体"/>
          <w:szCs w:val="24"/>
          <w:highlight w:val="none"/>
        </w:rPr>
      </w:pPr>
      <w:r>
        <w:rPr>
          <w:rFonts w:hint="eastAsia" w:ascii="宋体" w:hAnsi="宋体" w:eastAsia="宋体" w:cs="宋体"/>
          <w:szCs w:val="24"/>
          <w:highlight w:val="none"/>
        </w:rPr>
        <w:t>邮    编：</w:t>
      </w:r>
      <w:r>
        <w:rPr>
          <w:rFonts w:hint="eastAsia" w:ascii="宋体" w:hAnsi="宋体" w:eastAsia="宋体" w:cs="宋体"/>
          <w:szCs w:val="24"/>
          <w:highlight w:val="none"/>
          <w:u w:val="single"/>
        </w:rPr>
        <w:t xml:space="preserve">                            </w:t>
      </w:r>
    </w:p>
    <w:p>
      <w:pPr>
        <w:spacing w:line="440" w:lineRule="exact"/>
        <w:ind w:firstLine="437"/>
        <w:rPr>
          <w:rFonts w:hint="eastAsia" w:ascii="宋体" w:hAnsi="宋体" w:eastAsia="宋体" w:cs="宋体"/>
          <w:szCs w:val="24"/>
          <w:highlight w:val="none"/>
        </w:rPr>
      </w:pPr>
      <w:r>
        <w:rPr>
          <w:rFonts w:hint="eastAsia" w:ascii="宋体" w:hAnsi="宋体" w:eastAsia="宋体" w:cs="宋体"/>
          <w:szCs w:val="24"/>
          <w:highlight w:val="none"/>
        </w:rPr>
        <w:t>联 系 人：</w:t>
      </w:r>
      <w:r>
        <w:rPr>
          <w:rFonts w:hint="eastAsia" w:ascii="宋体" w:hAnsi="宋体" w:eastAsia="宋体" w:cs="宋体"/>
          <w:szCs w:val="24"/>
          <w:highlight w:val="none"/>
          <w:u w:val="single"/>
        </w:rPr>
        <w:t xml:space="preserve">                            </w:t>
      </w:r>
    </w:p>
    <w:p>
      <w:pPr>
        <w:spacing w:line="440" w:lineRule="exact"/>
        <w:ind w:firstLine="437"/>
        <w:rPr>
          <w:rFonts w:hint="eastAsia" w:ascii="宋体" w:hAnsi="宋体" w:eastAsia="宋体" w:cs="宋体"/>
          <w:szCs w:val="24"/>
          <w:highlight w:val="none"/>
        </w:rPr>
      </w:pPr>
      <w:r>
        <w:rPr>
          <w:rFonts w:hint="eastAsia" w:ascii="宋体" w:hAnsi="宋体" w:eastAsia="宋体" w:cs="宋体"/>
          <w:szCs w:val="24"/>
          <w:highlight w:val="none"/>
        </w:rPr>
        <w:t>电    话：</w:t>
      </w:r>
      <w:r>
        <w:rPr>
          <w:rFonts w:hint="eastAsia" w:ascii="宋体" w:hAnsi="宋体" w:eastAsia="宋体" w:cs="宋体"/>
          <w:szCs w:val="24"/>
          <w:highlight w:val="none"/>
          <w:u w:val="single"/>
        </w:rPr>
        <w:t xml:space="preserve">                            </w:t>
      </w:r>
    </w:p>
    <w:p>
      <w:pPr>
        <w:spacing w:line="440" w:lineRule="exact"/>
        <w:ind w:firstLine="437"/>
        <w:rPr>
          <w:rFonts w:hint="eastAsia" w:ascii="宋体" w:hAnsi="宋体" w:eastAsia="宋体" w:cs="宋体"/>
          <w:szCs w:val="24"/>
          <w:highlight w:val="none"/>
          <w:u w:val="single"/>
        </w:rPr>
      </w:pPr>
      <w:r>
        <w:rPr>
          <w:rFonts w:hint="eastAsia" w:ascii="宋体" w:hAnsi="宋体" w:eastAsia="宋体" w:cs="宋体"/>
          <w:szCs w:val="24"/>
          <w:highlight w:val="none"/>
        </w:rPr>
        <w:t>招标代理机构：</w:t>
      </w:r>
      <w:r>
        <w:rPr>
          <w:rFonts w:hint="eastAsia" w:ascii="宋体" w:hAnsi="宋体" w:eastAsia="宋体" w:cs="宋体"/>
          <w:szCs w:val="24"/>
          <w:highlight w:val="none"/>
          <w:u w:val="single"/>
        </w:rPr>
        <w:t xml:space="preserve">                        </w:t>
      </w:r>
    </w:p>
    <w:p>
      <w:pPr>
        <w:spacing w:line="440" w:lineRule="exact"/>
        <w:ind w:firstLine="437"/>
        <w:rPr>
          <w:rFonts w:hint="eastAsia" w:ascii="宋体" w:hAnsi="宋体" w:eastAsia="宋体" w:cs="宋体"/>
          <w:szCs w:val="24"/>
          <w:highlight w:val="none"/>
          <w:u w:val="single"/>
        </w:rPr>
      </w:pPr>
      <w:r>
        <w:rPr>
          <w:rFonts w:hint="eastAsia" w:ascii="宋体" w:hAnsi="宋体" w:eastAsia="宋体" w:cs="宋体"/>
          <w:szCs w:val="24"/>
          <w:highlight w:val="none"/>
        </w:rPr>
        <w:t>地    址：</w:t>
      </w:r>
      <w:r>
        <w:rPr>
          <w:rFonts w:hint="eastAsia" w:ascii="宋体" w:hAnsi="宋体" w:eastAsia="宋体" w:cs="宋体"/>
          <w:szCs w:val="24"/>
          <w:highlight w:val="none"/>
          <w:u w:val="single"/>
        </w:rPr>
        <w:t xml:space="preserve">                            </w:t>
      </w:r>
    </w:p>
    <w:p>
      <w:pPr>
        <w:spacing w:line="440" w:lineRule="exact"/>
        <w:ind w:firstLine="437"/>
        <w:rPr>
          <w:rFonts w:hint="eastAsia" w:ascii="宋体" w:hAnsi="宋体" w:eastAsia="宋体" w:cs="宋体"/>
          <w:szCs w:val="24"/>
          <w:highlight w:val="none"/>
          <w:u w:val="single"/>
        </w:rPr>
      </w:pPr>
      <w:r>
        <w:rPr>
          <w:rFonts w:hint="eastAsia" w:ascii="宋体" w:hAnsi="宋体" w:eastAsia="宋体" w:cs="宋体"/>
          <w:szCs w:val="24"/>
          <w:highlight w:val="none"/>
        </w:rPr>
        <w:t>邮    编：</w:t>
      </w:r>
      <w:r>
        <w:rPr>
          <w:rFonts w:hint="eastAsia" w:ascii="宋体" w:hAnsi="宋体" w:eastAsia="宋体" w:cs="宋体"/>
          <w:szCs w:val="24"/>
          <w:highlight w:val="none"/>
          <w:u w:val="single"/>
        </w:rPr>
        <w:t xml:space="preserve">                            </w:t>
      </w:r>
    </w:p>
    <w:p>
      <w:pPr>
        <w:spacing w:line="440" w:lineRule="exact"/>
        <w:ind w:firstLine="437"/>
        <w:rPr>
          <w:rFonts w:hint="eastAsia" w:ascii="宋体" w:hAnsi="宋体" w:eastAsia="宋体" w:cs="宋体"/>
          <w:szCs w:val="24"/>
          <w:highlight w:val="none"/>
          <w:u w:val="single"/>
        </w:rPr>
      </w:pPr>
      <w:r>
        <w:rPr>
          <w:rFonts w:hint="eastAsia" w:ascii="宋体" w:hAnsi="宋体" w:eastAsia="宋体" w:cs="宋体"/>
          <w:szCs w:val="24"/>
          <w:highlight w:val="none"/>
        </w:rPr>
        <w:t>联 系 人：</w:t>
      </w:r>
      <w:r>
        <w:rPr>
          <w:rFonts w:hint="eastAsia" w:ascii="宋体" w:hAnsi="宋体" w:eastAsia="宋体" w:cs="宋体"/>
          <w:szCs w:val="24"/>
          <w:highlight w:val="none"/>
          <w:u w:val="single"/>
        </w:rPr>
        <w:t xml:space="preserve">                            </w:t>
      </w:r>
    </w:p>
    <w:p>
      <w:pPr>
        <w:spacing w:line="440" w:lineRule="exact"/>
        <w:ind w:firstLine="420"/>
        <w:rPr>
          <w:rFonts w:hint="eastAsia" w:ascii="宋体" w:hAnsi="宋体" w:eastAsia="宋体" w:cs="宋体"/>
          <w:szCs w:val="24"/>
          <w:highlight w:val="none"/>
          <w:u w:val="single"/>
        </w:rPr>
      </w:pPr>
      <w:r>
        <w:rPr>
          <w:rFonts w:hint="eastAsia" w:ascii="宋体" w:hAnsi="宋体" w:eastAsia="宋体" w:cs="宋体"/>
          <w:szCs w:val="24"/>
          <w:highlight w:val="none"/>
        </w:rPr>
        <w:t>电    话：</w:t>
      </w:r>
      <w:r>
        <w:rPr>
          <w:rFonts w:hint="eastAsia" w:ascii="宋体" w:hAnsi="宋体" w:eastAsia="宋体" w:cs="宋体"/>
          <w:szCs w:val="24"/>
          <w:highlight w:val="none"/>
          <w:u w:val="single"/>
        </w:rPr>
        <w:t xml:space="preserve">                            </w:t>
      </w:r>
    </w:p>
    <w:p>
      <w:pPr>
        <w:pStyle w:val="3"/>
        <w:pageBreakBefore w:val="0"/>
        <w:widowControl w:val="0"/>
        <w:numPr>
          <w:ilvl w:val="-1"/>
          <w:numId w:val="0"/>
        </w:numPr>
        <w:kinsoku/>
        <w:wordWrap/>
        <w:overflowPunct/>
        <w:topLinePunct w:val="0"/>
        <w:autoSpaceDE/>
        <w:autoSpaceDN/>
        <w:bidi w:val="0"/>
        <w:spacing w:before="120" w:beforeLines="-2147483648" w:after="120" w:afterLines="-2147483648" w:line="440" w:lineRule="exact"/>
        <w:textAlignment w:val="auto"/>
        <w:rPr>
          <w:rFonts w:hint="eastAsia" w:ascii="黑体" w:hAnsi="黑体" w:eastAsia="黑体" w:cs="Calibri"/>
          <w:b w:val="0"/>
          <w:sz w:val="32"/>
          <w:szCs w:val="32"/>
          <w:highlight w:val="none"/>
          <w:lang w:val="en-US" w:eastAsia="zh-CN"/>
        </w:rPr>
      </w:pPr>
      <w:bookmarkStart w:id="84" w:name="_Toc683389761"/>
      <w:r>
        <w:rPr>
          <w:rFonts w:hint="eastAsia" w:ascii="黑体" w:hAnsi="黑体" w:eastAsia="黑体" w:cs="Calibri"/>
          <w:b w:val="0"/>
          <w:bCs w:val="0"/>
          <w:kern w:val="2"/>
          <w:sz w:val="32"/>
          <w:szCs w:val="32"/>
          <w:highlight w:val="none"/>
          <w:lang w:val="en-US" w:eastAsia="zh-CN" w:bidi="ar-SA"/>
        </w:rPr>
        <w:t>10.受理</w:t>
      </w:r>
      <w:r>
        <w:rPr>
          <w:rFonts w:hint="eastAsia" w:ascii="黑体" w:hAnsi="黑体" w:eastAsia="黑体" w:cs="Calibri"/>
          <w:b w:val="0"/>
          <w:sz w:val="32"/>
          <w:szCs w:val="32"/>
          <w:highlight w:val="none"/>
          <w:lang w:val="en-US" w:eastAsia="zh-CN"/>
        </w:rPr>
        <w:t>异议的监督部门和联系方式</w:t>
      </w:r>
      <w:bookmarkEnd w:id="84"/>
    </w:p>
    <w:p>
      <w:pPr>
        <w:pageBreakBefore w:val="0"/>
        <w:widowControl w:val="0"/>
        <w:kinsoku/>
        <w:wordWrap/>
        <w:overflowPunct/>
        <w:topLinePunct w:val="0"/>
        <w:autoSpaceDE/>
        <w:autoSpaceDN/>
        <w:bidi w:val="0"/>
        <w:spacing w:line="440" w:lineRule="exact"/>
        <w:ind w:firstLine="437"/>
        <w:textAlignment w:val="auto"/>
        <w:rPr>
          <w:rFonts w:hint="default" w:ascii="仿宋_GB2312" w:hAnsi="宋体" w:eastAsia="仿宋_GB2312" w:cs="Times New Roman"/>
          <w:highlight w:val="none"/>
          <w:u w:val="single"/>
          <w:lang w:val="en-US" w:eastAsia="zh-CN"/>
        </w:rPr>
      </w:pPr>
      <w:r>
        <w:rPr>
          <w:rFonts w:hint="eastAsia" w:ascii="仿宋_GB2312" w:hAnsi="宋体" w:eastAsia="仿宋_GB2312" w:cs="Times New Roman"/>
          <w:highlight w:val="none"/>
          <w:lang w:val="en-US" w:eastAsia="zh-CN"/>
        </w:rPr>
        <w:t>监督部门:</w:t>
      </w:r>
      <w:r>
        <w:rPr>
          <w:rFonts w:hint="eastAsia" w:ascii="仿宋_GB2312" w:hAnsi="宋体" w:eastAsia="仿宋_GB2312" w:cs="Times New Roman"/>
          <w:highlight w:val="none"/>
          <w:u w:val="single"/>
          <w:lang w:val="en-US" w:eastAsia="zh-CN"/>
        </w:rPr>
        <w:t xml:space="preserve">                             </w:t>
      </w:r>
    </w:p>
    <w:p>
      <w:pPr>
        <w:pageBreakBefore w:val="0"/>
        <w:widowControl w:val="0"/>
        <w:kinsoku/>
        <w:wordWrap/>
        <w:overflowPunct/>
        <w:topLinePunct w:val="0"/>
        <w:autoSpaceDE/>
        <w:autoSpaceDN/>
        <w:bidi w:val="0"/>
        <w:spacing w:line="440" w:lineRule="exact"/>
        <w:ind w:firstLine="437"/>
        <w:textAlignment w:val="auto"/>
        <w:rPr>
          <w:rFonts w:hint="default" w:ascii="仿宋_GB2312" w:hAnsi="宋体" w:eastAsia="仿宋_GB2312" w:cs="Times New Roman"/>
          <w:highlight w:val="none"/>
          <w:u w:val="single"/>
          <w:lang w:val="en-US" w:eastAsia="zh-CN"/>
        </w:rPr>
      </w:pPr>
      <w:r>
        <w:rPr>
          <w:rFonts w:hint="eastAsia" w:ascii="仿宋_GB2312" w:hAnsi="宋体" w:eastAsia="仿宋_GB2312" w:cs="Times New Roman"/>
          <w:highlight w:val="none"/>
          <w:lang w:val="en-US" w:eastAsia="zh-CN"/>
        </w:rPr>
        <w:t>联系方式:</w:t>
      </w:r>
      <w:r>
        <w:rPr>
          <w:rFonts w:hint="eastAsia" w:ascii="仿宋_GB2312" w:hAnsi="宋体" w:eastAsia="仿宋_GB2312" w:cs="Times New Roman"/>
          <w:highlight w:val="none"/>
          <w:u w:val="single"/>
          <w:lang w:val="en-US" w:eastAsia="zh-CN"/>
        </w:rPr>
        <w:t xml:space="preserve">                             </w:t>
      </w:r>
    </w:p>
    <w:p>
      <w:pPr>
        <w:widowControl/>
        <w:jc w:val="left"/>
        <w:rPr>
          <w:rFonts w:hint="eastAsia" w:ascii="宋体" w:hAnsi="宋体" w:eastAsia="宋体" w:cs="宋体"/>
          <w:color w:val="000000"/>
          <w:highlight w:val="none"/>
        </w:rPr>
      </w:pPr>
      <w:r>
        <w:rPr>
          <w:rFonts w:hint="eastAsia" w:ascii="宋体" w:hAnsi="宋体" w:eastAsia="宋体" w:cs="宋体"/>
          <w:color w:val="000000"/>
          <w:highlight w:val="none"/>
        </w:rPr>
        <w:br w:type="page"/>
      </w:r>
    </w:p>
    <w:p>
      <w:pPr>
        <w:pStyle w:val="4"/>
        <w:spacing w:before="0" w:after="0" w:line="420" w:lineRule="exact"/>
        <w:ind w:firstLine="137"/>
        <w:rPr>
          <w:rFonts w:hint="eastAsia" w:ascii="方正黑体_GBK" w:hAnsi="方正黑体_GBK" w:eastAsia="方正黑体_GBK" w:cs="方正黑体_GBK"/>
          <w:bCs/>
          <w:color w:val="000000"/>
          <w:szCs w:val="28"/>
          <w:highlight w:val="none"/>
        </w:rPr>
      </w:pPr>
      <w:bookmarkStart w:id="85" w:name="_Toc2092592142"/>
      <w:bookmarkStart w:id="86" w:name="_Toc361508575"/>
      <w:bookmarkStart w:id="87" w:name="_Toc384308200"/>
      <w:r>
        <w:rPr>
          <w:rFonts w:hint="eastAsia" w:ascii="方正黑体_GBK" w:hAnsi="方正黑体_GBK" w:eastAsia="方正黑体_GBK" w:cs="方正黑体_GBK"/>
          <w:bCs/>
          <w:color w:val="000000"/>
          <w:szCs w:val="28"/>
          <w:highlight w:val="none"/>
        </w:rPr>
        <w:t>附件：</w:t>
      </w:r>
      <w:bookmarkEnd w:id="85"/>
    </w:p>
    <w:p>
      <w:pPr>
        <w:spacing w:line="400" w:lineRule="exact"/>
        <w:rPr>
          <w:rFonts w:ascii="Times New Roman" w:hAnsi="Times New Roman"/>
          <w:color w:val="000000"/>
          <w:highlight w:val="none"/>
        </w:rPr>
      </w:pPr>
    </w:p>
    <w:p>
      <w:pPr>
        <w:spacing w:line="400" w:lineRule="exact"/>
        <w:jc w:val="center"/>
        <w:rPr>
          <w:rFonts w:ascii="Times New Roman" w:hAnsi="Times New Roman" w:eastAsia="黑体"/>
          <w:color w:val="000000"/>
          <w:sz w:val="28"/>
          <w:highlight w:val="none"/>
        </w:rPr>
      </w:pPr>
      <w:r>
        <w:rPr>
          <w:rFonts w:ascii="Times New Roman" w:hAnsi="Times New Roman" w:eastAsia="黑体"/>
          <w:color w:val="000000"/>
          <w:sz w:val="28"/>
          <w:highlight w:val="none"/>
        </w:rPr>
        <w:t>确认通知</w:t>
      </w:r>
    </w:p>
    <w:p>
      <w:pPr>
        <w:spacing w:line="400" w:lineRule="exact"/>
        <w:rPr>
          <w:rFonts w:ascii="Times New Roman" w:hAnsi="Times New Roman"/>
          <w:color w:val="000000"/>
          <w:highlight w:val="none"/>
        </w:rPr>
      </w:pPr>
    </w:p>
    <w:p>
      <w:pPr>
        <w:spacing w:line="400" w:lineRule="exact"/>
        <w:rPr>
          <w:rFonts w:ascii="Times New Roman" w:hAnsi="Times New Roman"/>
          <w:color w:val="000000"/>
          <w:highlight w:val="none"/>
        </w:rPr>
      </w:pPr>
    </w:p>
    <w:p>
      <w:pPr>
        <w:spacing w:line="440" w:lineRule="exact"/>
        <w:rPr>
          <w:rFonts w:ascii="Times New Roman" w:hAnsi="Times New Roman"/>
          <w:color w:val="000000"/>
          <w:highlight w:val="none"/>
        </w:rPr>
      </w:pPr>
      <w:r>
        <w:rPr>
          <w:rFonts w:ascii="Times New Roman" w:hAnsi="Times New Roman"/>
          <w:highlight w:val="none"/>
          <w:u w:val="single"/>
        </w:rPr>
        <w:t xml:space="preserve">                  </w:t>
      </w:r>
      <w:r>
        <w:rPr>
          <w:rFonts w:ascii="Times New Roman" w:hAnsi="Times New Roman"/>
          <w:color w:val="000000"/>
          <w:highlight w:val="none"/>
        </w:rPr>
        <w:t>（招标人名称）：</w:t>
      </w:r>
    </w:p>
    <w:p>
      <w:pPr>
        <w:spacing w:line="440" w:lineRule="exact"/>
        <w:rPr>
          <w:rFonts w:ascii="Times New Roman" w:hAnsi="Times New Roman"/>
          <w:color w:val="000000"/>
          <w:highlight w:val="none"/>
        </w:rPr>
      </w:pPr>
      <w:r>
        <w:rPr>
          <w:rFonts w:ascii="Times New Roman" w:hAnsi="Times New Roman"/>
          <w:color w:val="000000"/>
          <w:highlight w:val="none"/>
        </w:rPr>
        <w:t>　　</w:t>
      </w:r>
    </w:p>
    <w:p>
      <w:pPr>
        <w:spacing w:line="440" w:lineRule="exact"/>
        <w:ind w:firstLine="420" w:firstLineChars="200"/>
        <w:jc w:val="left"/>
        <w:rPr>
          <w:rFonts w:ascii="Times New Roman" w:hAnsi="Times New Roman"/>
          <w:color w:val="000000"/>
          <w:highlight w:val="none"/>
        </w:rPr>
      </w:pPr>
      <w:r>
        <w:rPr>
          <w:rFonts w:ascii="Times New Roman" w:hAnsi="Times New Roman"/>
          <w:color w:val="000000"/>
          <w:highlight w:val="none"/>
        </w:rPr>
        <w:t>我方已于</w:t>
      </w:r>
      <w:r>
        <w:rPr>
          <w:rFonts w:ascii="Times New Roman" w:hAnsi="Times New Roman"/>
          <w:highlight w:val="none"/>
          <w:u w:val="single"/>
        </w:rPr>
        <w:t xml:space="preserve">         </w:t>
      </w:r>
      <w:r>
        <w:rPr>
          <w:rFonts w:ascii="Times New Roman" w:hAnsi="Times New Roman"/>
          <w:color w:val="000000"/>
          <w:highlight w:val="none"/>
        </w:rPr>
        <w:t>年</w:t>
      </w:r>
      <w:r>
        <w:rPr>
          <w:rFonts w:ascii="Times New Roman" w:hAnsi="Times New Roman"/>
          <w:highlight w:val="none"/>
          <w:u w:val="single"/>
        </w:rPr>
        <w:t xml:space="preserve">         </w:t>
      </w:r>
      <w:r>
        <w:rPr>
          <w:rFonts w:ascii="Times New Roman" w:hAnsi="Times New Roman"/>
          <w:color w:val="000000"/>
          <w:highlight w:val="none"/>
        </w:rPr>
        <w:t>月</w:t>
      </w:r>
      <w:r>
        <w:rPr>
          <w:rFonts w:ascii="Times New Roman" w:hAnsi="Times New Roman"/>
          <w:highlight w:val="none"/>
          <w:u w:val="single"/>
        </w:rPr>
        <w:t xml:space="preserve">         </w:t>
      </w:r>
      <w:r>
        <w:rPr>
          <w:rFonts w:ascii="Times New Roman" w:hAnsi="Times New Roman"/>
          <w:color w:val="000000"/>
          <w:highlight w:val="none"/>
        </w:rPr>
        <w:t>日收到你方</w:t>
      </w:r>
      <w:r>
        <w:rPr>
          <w:rFonts w:ascii="Times New Roman" w:hAnsi="Times New Roman"/>
          <w:highlight w:val="none"/>
          <w:u w:val="single"/>
        </w:rPr>
        <w:t xml:space="preserve">         </w:t>
      </w:r>
      <w:r>
        <w:rPr>
          <w:rFonts w:ascii="Times New Roman" w:hAnsi="Times New Roman"/>
          <w:color w:val="000000"/>
          <w:highlight w:val="none"/>
        </w:rPr>
        <w:t>年</w:t>
      </w:r>
      <w:r>
        <w:rPr>
          <w:rFonts w:ascii="Times New Roman" w:hAnsi="Times New Roman"/>
          <w:highlight w:val="none"/>
          <w:u w:val="single"/>
        </w:rPr>
        <w:t xml:space="preserve">         </w:t>
      </w:r>
      <w:r>
        <w:rPr>
          <w:rFonts w:ascii="Times New Roman" w:hAnsi="Times New Roman"/>
          <w:color w:val="000000"/>
          <w:highlight w:val="none"/>
        </w:rPr>
        <w:t>月</w:t>
      </w:r>
      <w:r>
        <w:rPr>
          <w:rFonts w:ascii="Times New Roman" w:hAnsi="Times New Roman"/>
          <w:highlight w:val="none"/>
          <w:u w:val="single"/>
        </w:rPr>
        <w:t xml:space="preserve">         </w:t>
      </w:r>
      <w:r>
        <w:rPr>
          <w:rFonts w:ascii="Times New Roman" w:hAnsi="Times New Roman"/>
          <w:color w:val="000000"/>
          <w:highlight w:val="none"/>
        </w:rPr>
        <w:t>日发出的</w:t>
      </w:r>
      <w:r>
        <w:rPr>
          <w:rFonts w:ascii="Times New Roman" w:hAnsi="Times New Roman"/>
          <w:highlight w:val="none"/>
          <w:u w:val="single"/>
        </w:rPr>
        <w:t xml:space="preserve">                  </w:t>
      </w:r>
      <w:r>
        <w:rPr>
          <w:rFonts w:ascii="Times New Roman" w:hAnsi="Times New Roman"/>
          <w:color w:val="000000"/>
          <w:highlight w:val="none"/>
        </w:rPr>
        <w:t>（项目名称）材料采购招标的投标邀请书，并确认</w:t>
      </w:r>
      <w:r>
        <w:rPr>
          <w:rFonts w:ascii="Times New Roman" w:hAnsi="Times New Roman"/>
          <w:highlight w:val="none"/>
          <w:u w:val="single"/>
        </w:rPr>
        <w:t xml:space="preserve">         </w:t>
      </w:r>
      <w:r>
        <w:rPr>
          <w:rFonts w:ascii="Times New Roman" w:hAnsi="Times New Roman"/>
          <w:color w:val="000000"/>
          <w:highlight w:val="none"/>
        </w:rPr>
        <w:t>（参加/不参加）投标。</w:t>
      </w:r>
    </w:p>
    <w:p>
      <w:pPr>
        <w:spacing w:line="440" w:lineRule="exact"/>
        <w:rPr>
          <w:rFonts w:ascii="Times New Roman" w:hAnsi="Times New Roman"/>
          <w:color w:val="000000"/>
          <w:highlight w:val="none"/>
        </w:rPr>
      </w:pPr>
      <w:r>
        <w:rPr>
          <w:rFonts w:ascii="Times New Roman" w:hAnsi="Times New Roman"/>
          <w:color w:val="000000"/>
          <w:highlight w:val="none"/>
        </w:rPr>
        <w:t>　　特此确认。</w:t>
      </w:r>
    </w:p>
    <w:p>
      <w:pPr>
        <w:spacing w:line="440" w:lineRule="exact"/>
        <w:rPr>
          <w:rFonts w:ascii="Times New Roman" w:hAnsi="Times New Roman"/>
          <w:color w:val="000000"/>
          <w:highlight w:val="none"/>
        </w:rPr>
      </w:pPr>
    </w:p>
    <w:p>
      <w:pPr>
        <w:spacing w:line="440" w:lineRule="exact"/>
        <w:ind w:firstLine="2940" w:firstLineChars="1400"/>
        <w:rPr>
          <w:rFonts w:ascii="Times New Roman" w:hAnsi="Times New Roman"/>
          <w:color w:val="000000"/>
          <w:highlight w:val="none"/>
        </w:rPr>
      </w:pPr>
      <w:r>
        <w:rPr>
          <w:rFonts w:ascii="Times New Roman" w:hAnsi="Times New Roman"/>
          <w:color w:val="000000"/>
          <w:highlight w:val="none"/>
        </w:rPr>
        <w:t>被邀请单位名称：</w:t>
      </w:r>
      <w:r>
        <w:rPr>
          <w:rFonts w:ascii="Times New Roman" w:hAnsi="Times New Roman" w:eastAsia="黑体"/>
          <w:color w:val="000000"/>
          <w:sz w:val="28"/>
          <w:highlight w:val="none"/>
          <w:u w:val="single"/>
        </w:rPr>
        <w:t xml:space="preserve">                  </w:t>
      </w:r>
      <w:r>
        <w:rPr>
          <w:rFonts w:ascii="Times New Roman" w:hAnsi="Times New Roman"/>
          <w:color w:val="000000"/>
          <w:highlight w:val="none"/>
        </w:rPr>
        <w:t>（盖单位章）</w:t>
      </w:r>
    </w:p>
    <w:p>
      <w:pPr>
        <w:spacing w:line="440" w:lineRule="exact"/>
        <w:ind w:firstLine="2940" w:firstLineChars="1400"/>
        <w:rPr>
          <w:rFonts w:ascii="Times New Roman" w:hAnsi="Times New Roman"/>
          <w:color w:val="000000"/>
          <w:highlight w:val="none"/>
        </w:rPr>
      </w:pPr>
      <w:r>
        <w:rPr>
          <w:rFonts w:ascii="Times New Roman" w:hAnsi="Times New Roman"/>
          <w:color w:val="000000"/>
          <w:highlight w:val="none"/>
        </w:rPr>
        <w:t>法</w:t>
      </w:r>
      <w:r>
        <w:rPr>
          <w:rFonts w:hint="eastAsia" w:ascii="Times New Roman" w:hAnsi="Times New Roman"/>
          <w:color w:val="000000"/>
          <w:highlight w:val="none"/>
          <w:lang w:val="en-US" w:eastAsia="zh-CN"/>
        </w:rPr>
        <w:t xml:space="preserve"> </w:t>
      </w:r>
      <w:r>
        <w:rPr>
          <w:rFonts w:ascii="Times New Roman" w:hAnsi="Times New Roman"/>
          <w:color w:val="000000"/>
          <w:highlight w:val="none"/>
        </w:rPr>
        <w:t>定</w:t>
      </w:r>
      <w:r>
        <w:rPr>
          <w:rFonts w:hint="eastAsia" w:ascii="Times New Roman" w:hAnsi="Times New Roman"/>
          <w:color w:val="000000"/>
          <w:highlight w:val="none"/>
          <w:lang w:val="en-US" w:eastAsia="zh-CN"/>
        </w:rPr>
        <w:t xml:space="preserve"> </w:t>
      </w:r>
      <w:r>
        <w:rPr>
          <w:rFonts w:ascii="Times New Roman" w:hAnsi="Times New Roman"/>
          <w:color w:val="000000"/>
          <w:highlight w:val="none"/>
        </w:rPr>
        <w:t>代</w:t>
      </w:r>
      <w:r>
        <w:rPr>
          <w:rFonts w:hint="eastAsia" w:ascii="Times New Roman" w:hAnsi="Times New Roman"/>
          <w:color w:val="000000"/>
          <w:highlight w:val="none"/>
          <w:lang w:val="en-US" w:eastAsia="zh-CN"/>
        </w:rPr>
        <w:t xml:space="preserve"> </w:t>
      </w:r>
      <w:r>
        <w:rPr>
          <w:rFonts w:ascii="Times New Roman" w:hAnsi="Times New Roman"/>
          <w:color w:val="000000"/>
          <w:highlight w:val="none"/>
        </w:rPr>
        <w:t>表</w:t>
      </w:r>
      <w:r>
        <w:rPr>
          <w:rFonts w:hint="eastAsia" w:ascii="Times New Roman" w:hAnsi="Times New Roman"/>
          <w:color w:val="000000"/>
          <w:highlight w:val="none"/>
          <w:lang w:val="en-US" w:eastAsia="zh-CN"/>
        </w:rPr>
        <w:t xml:space="preserve"> </w:t>
      </w:r>
      <w:r>
        <w:rPr>
          <w:rFonts w:ascii="Times New Roman" w:hAnsi="Times New Roman"/>
          <w:color w:val="000000"/>
          <w:highlight w:val="none"/>
        </w:rPr>
        <w:t>人：</w:t>
      </w:r>
      <w:r>
        <w:rPr>
          <w:rFonts w:ascii="Times New Roman" w:hAnsi="Times New Roman" w:eastAsia="黑体"/>
          <w:color w:val="000000"/>
          <w:sz w:val="28"/>
          <w:highlight w:val="none"/>
          <w:u w:val="single"/>
        </w:rPr>
        <w:t xml:space="preserve">               </w:t>
      </w:r>
      <w:r>
        <w:rPr>
          <w:rFonts w:ascii="Times New Roman" w:hAnsi="Times New Roman"/>
          <w:color w:val="000000"/>
          <w:highlight w:val="none"/>
        </w:rPr>
        <w:t>（签字）</w:t>
      </w:r>
    </w:p>
    <w:p>
      <w:pPr>
        <w:spacing w:line="440" w:lineRule="exact"/>
        <w:rPr>
          <w:rFonts w:ascii="Times New Roman" w:hAnsi="Times New Roman"/>
          <w:color w:val="000000"/>
          <w:highlight w:val="none"/>
        </w:rPr>
      </w:pPr>
    </w:p>
    <w:p>
      <w:pPr>
        <w:spacing w:line="400" w:lineRule="exact"/>
        <w:ind w:right="840" w:firstLine="525" w:firstLineChars="250"/>
        <w:jc w:val="right"/>
        <w:rPr>
          <w:rFonts w:ascii="Times New Roman" w:hAnsi="Times New Roman"/>
          <w:color w:val="000000"/>
          <w:highlight w:val="none"/>
        </w:rPr>
      </w:pPr>
      <w:r>
        <w:rPr>
          <w:rFonts w:ascii="Times New Roman" w:hAnsi="Times New Roman"/>
          <w:highlight w:val="none"/>
          <w:u w:val="single"/>
        </w:rPr>
        <w:t xml:space="preserve">         </w:t>
      </w:r>
      <w:r>
        <w:rPr>
          <w:rFonts w:ascii="Times New Roman" w:hAnsi="Times New Roman"/>
          <w:color w:val="000000"/>
          <w:highlight w:val="none"/>
        </w:rPr>
        <w:t>年</w:t>
      </w:r>
      <w:r>
        <w:rPr>
          <w:rFonts w:ascii="Times New Roman" w:hAnsi="Times New Roman"/>
          <w:highlight w:val="none"/>
          <w:u w:val="single"/>
        </w:rPr>
        <w:t xml:space="preserve">         </w:t>
      </w:r>
      <w:r>
        <w:rPr>
          <w:rFonts w:ascii="Times New Roman" w:hAnsi="Times New Roman"/>
          <w:color w:val="000000"/>
          <w:highlight w:val="none"/>
        </w:rPr>
        <w:t>月</w:t>
      </w:r>
      <w:r>
        <w:rPr>
          <w:rFonts w:ascii="Times New Roman" w:hAnsi="Times New Roman"/>
          <w:highlight w:val="none"/>
          <w:u w:val="single"/>
        </w:rPr>
        <w:t xml:space="preserve">         </w:t>
      </w:r>
      <w:r>
        <w:rPr>
          <w:rFonts w:ascii="Times New Roman" w:hAnsi="Times New Roman"/>
          <w:color w:val="000000"/>
          <w:highlight w:val="none"/>
        </w:rPr>
        <w:t>日</w:t>
      </w:r>
    </w:p>
    <w:bookmarkEnd w:id="86"/>
    <w:bookmarkEnd w:id="87"/>
    <w:p>
      <w:pPr>
        <w:pStyle w:val="2"/>
        <w:keepNext/>
        <w:keepLines/>
        <w:pageBreakBefore w:val="0"/>
        <w:widowControl w:val="0"/>
        <w:kinsoku/>
        <w:wordWrap/>
        <w:overflowPunct/>
        <w:topLinePunct w:val="0"/>
        <w:autoSpaceDE/>
        <w:autoSpaceDN/>
        <w:bidi w:val="0"/>
        <w:adjustRightInd/>
        <w:snapToGrid/>
        <w:spacing w:after="120" w:line="360" w:lineRule="auto"/>
        <w:jc w:val="center"/>
        <w:textAlignment w:val="auto"/>
        <w:rPr>
          <w:color w:val="000000"/>
          <w:highlight w:val="none"/>
        </w:rPr>
      </w:pPr>
      <w:bookmarkStart w:id="88" w:name="_Toc247527549"/>
      <w:bookmarkEnd w:id="88"/>
      <w:bookmarkStart w:id="89" w:name="_Toc384308203"/>
      <w:bookmarkEnd w:id="89"/>
      <w:bookmarkStart w:id="90" w:name="_Toc361508578"/>
      <w:bookmarkEnd w:id="90"/>
      <w:bookmarkStart w:id="91" w:name="_Toc247513946"/>
      <w:bookmarkEnd w:id="91"/>
      <w:bookmarkStart w:id="92" w:name="_Toc384308205"/>
      <w:bookmarkEnd w:id="92"/>
      <w:bookmarkStart w:id="93" w:name="_Toc369531511"/>
      <w:bookmarkEnd w:id="93"/>
      <w:bookmarkStart w:id="94" w:name="_Toc247513948"/>
      <w:bookmarkEnd w:id="94"/>
      <w:bookmarkStart w:id="95" w:name="_Toc247527547"/>
      <w:bookmarkEnd w:id="95"/>
      <w:bookmarkStart w:id="96" w:name="_Toc152042301"/>
      <w:bookmarkEnd w:id="96"/>
      <w:bookmarkStart w:id="97" w:name="_Toc152045525"/>
      <w:bookmarkEnd w:id="97"/>
      <w:bookmarkStart w:id="98" w:name="_Toc300834943"/>
      <w:bookmarkEnd w:id="98"/>
      <w:bookmarkStart w:id="99" w:name="_Toc144974493"/>
      <w:bookmarkEnd w:id="99"/>
      <w:bookmarkStart w:id="100" w:name="_Toc14865"/>
      <w:bookmarkEnd w:id="100"/>
      <w:bookmarkStart w:id="101" w:name="_Toc361508580"/>
      <w:bookmarkEnd w:id="101"/>
      <w:bookmarkStart w:id="102" w:name="_Toc300834941"/>
      <w:bookmarkEnd w:id="102"/>
      <w:bookmarkStart w:id="103" w:name="_Toc369531509"/>
      <w:bookmarkEnd w:id="103"/>
      <w:bookmarkStart w:id="104" w:name="_Toc19794"/>
      <w:bookmarkEnd w:id="104"/>
      <w:bookmarkStart w:id="105" w:name="_Toc352691469"/>
      <w:bookmarkEnd w:id="105"/>
      <w:bookmarkStart w:id="106" w:name="_Toc144974491"/>
      <w:bookmarkEnd w:id="106"/>
      <w:bookmarkStart w:id="107" w:name="_Toc152042299"/>
      <w:bookmarkEnd w:id="107"/>
      <w:bookmarkStart w:id="108" w:name="_Toc152045523"/>
      <w:bookmarkEnd w:id="108"/>
      <w:bookmarkStart w:id="109" w:name="_Toc352691467"/>
      <w:bookmarkEnd w:id="109"/>
      <w:r>
        <w:rPr>
          <w:color w:val="000000"/>
          <w:highlight w:val="none"/>
        </w:rPr>
        <w:br w:type="page"/>
      </w:r>
      <w:bookmarkStart w:id="110" w:name="_Toc79054275"/>
      <w:bookmarkStart w:id="111" w:name="_Toc415467540"/>
      <w:r>
        <w:rPr>
          <w:color w:val="000000"/>
          <w:highlight w:val="none"/>
        </w:rPr>
        <w:t>第二章投标人须知</w:t>
      </w:r>
      <w:bookmarkEnd w:id="110"/>
      <w:bookmarkEnd w:id="111"/>
    </w:p>
    <w:p>
      <w:pPr>
        <w:pStyle w:val="3"/>
        <w:jc w:val="center"/>
        <w:rPr>
          <w:rFonts w:ascii="Times New Roman" w:hAnsi="Times New Roman"/>
          <w:color w:val="000000"/>
          <w:highlight w:val="none"/>
        </w:rPr>
      </w:pPr>
      <w:bookmarkStart w:id="112" w:name="_Toc562919714"/>
      <w:r>
        <w:rPr>
          <w:rFonts w:ascii="Times New Roman" w:hAnsi="Times New Roman"/>
          <w:color w:val="000000"/>
          <w:highlight w:val="none"/>
        </w:rPr>
        <w:t>投标人须知前附表</w:t>
      </w:r>
      <w:bookmarkEnd w:id="112"/>
    </w:p>
    <w:tbl>
      <w:tblPr>
        <w:tblStyle w:val="29"/>
        <w:tblW w:w="9322" w:type="dxa"/>
        <w:tblInd w:w="0" w:type="dxa"/>
        <w:tblLayout w:type="fixed"/>
        <w:tblCellMar>
          <w:top w:w="0" w:type="dxa"/>
          <w:left w:w="108" w:type="dxa"/>
          <w:bottom w:w="0" w:type="dxa"/>
          <w:right w:w="108" w:type="dxa"/>
        </w:tblCellMar>
      </w:tblPr>
      <w:tblGrid>
        <w:gridCol w:w="1165"/>
        <w:gridCol w:w="2487"/>
        <w:gridCol w:w="5670"/>
      </w:tblGrid>
      <w:tr>
        <w:tblPrEx>
          <w:tblCellMar>
            <w:top w:w="0" w:type="dxa"/>
            <w:left w:w="108" w:type="dxa"/>
            <w:bottom w:w="0" w:type="dxa"/>
            <w:right w:w="108" w:type="dxa"/>
          </w:tblCellMar>
        </w:tblPrEx>
        <w:trPr>
          <w:tblHeader/>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b/>
                <w:color w:val="000000"/>
                <w:highlight w:val="none"/>
              </w:rPr>
            </w:pPr>
            <w:r>
              <w:rPr>
                <w:rFonts w:ascii="Times New Roman" w:hAnsi="Times New Roman"/>
                <w:b/>
                <w:color w:val="000000"/>
                <w:highlight w:val="none"/>
              </w:rPr>
              <w:t>条款号</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b/>
                <w:color w:val="000000"/>
                <w:highlight w:val="none"/>
              </w:rPr>
            </w:pPr>
            <w:r>
              <w:rPr>
                <w:rFonts w:ascii="Times New Roman" w:hAnsi="Times New Roman"/>
                <w:b/>
                <w:color w:val="000000"/>
                <w:highlight w:val="none"/>
              </w:rPr>
              <w:t>条款名称</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b/>
                <w:color w:val="000000"/>
                <w:highlight w:val="none"/>
              </w:rPr>
            </w:pPr>
            <w:r>
              <w:rPr>
                <w:rFonts w:ascii="Times New Roman" w:hAnsi="Times New Roman"/>
                <w:b/>
                <w:color w:val="000000"/>
                <w:highlight w:val="none"/>
              </w:rPr>
              <w:t>编列内容</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1.1.2</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招标人</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名称：</w:t>
            </w:r>
          </w:p>
          <w:p>
            <w:pPr>
              <w:spacing w:line="440" w:lineRule="exact"/>
              <w:rPr>
                <w:rFonts w:ascii="Times New Roman" w:hAnsi="Times New Roman"/>
                <w:color w:val="000000"/>
                <w:highlight w:val="none"/>
              </w:rPr>
            </w:pPr>
            <w:r>
              <w:rPr>
                <w:rFonts w:ascii="Times New Roman" w:hAnsi="Times New Roman"/>
                <w:color w:val="000000"/>
                <w:highlight w:val="none"/>
              </w:rPr>
              <w:t>地址：</w:t>
            </w:r>
          </w:p>
          <w:p>
            <w:pPr>
              <w:spacing w:line="440" w:lineRule="exact"/>
              <w:rPr>
                <w:rFonts w:ascii="Times New Roman" w:hAnsi="Times New Roman"/>
                <w:color w:val="000000"/>
                <w:highlight w:val="none"/>
              </w:rPr>
            </w:pPr>
            <w:r>
              <w:rPr>
                <w:rFonts w:ascii="Times New Roman" w:hAnsi="Times New Roman"/>
                <w:color w:val="000000"/>
                <w:highlight w:val="none"/>
              </w:rPr>
              <w:t>联系人：</w:t>
            </w:r>
          </w:p>
          <w:p>
            <w:pPr>
              <w:spacing w:line="440" w:lineRule="exact"/>
              <w:rPr>
                <w:rFonts w:ascii="Times New Roman" w:hAnsi="Times New Roman"/>
                <w:color w:val="000000"/>
                <w:highlight w:val="none"/>
              </w:rPr>
            </w:pPr>
            <w:r>
              <w:rPr>
                <w:rFonts w:ascii="Times New Roman" w:hAnsi="Times New Roman"/>
                <w:color w:val="000000"/>
                <w:highlight w:val="none"/>
              </w:rPr>
              <w:t>电话：</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1.1.3</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招标代理机构</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名称：</w:t>
            </w:r>
          </w:p>
          <w:p>
            <w:pPr>
              <w:spacing w:line="440" w:lineRule="exact"/>
              <w:rPr>
                <w:rFonts w:ascii="Times New Roman" w:hAnsi="Times New Roman"/>
                <w:color w:val="000000"/>
                <w:highlight w:val="none"/>
              </w:rPr>
            </w:pPr>
            <w:r>
              <w:rPr>
                <w:rFonts w:ascii="Times New Roman" w:hAnsi="Times New Roman"/>
                <w:color w:val="000000"/>
                <w:highlight w:val="none"/>
              </w:rPr>
              <w:t>地址：</w:t>
            </w:r>
          </w:p>
          <w:p>
            <w:pPr>
              <w:spacing w:line="440" w:lineRule="exact"/>
              <w:rPr>
                <w:rFonts w:ascii="Times New Roman" w:hAnsi="Times New Roman"/>
                <w:color w:val="000000"/>
                <w:highlight w:val="none"/>
              </w:rPr>
            </w:pPr>
            <w:r>
              <w:rPr>
                <w:rFonts w:ascii="Times New Roman" w:hAnsi="Times New Roman"/>
                <w:color w:val="000000"/>
                <w:highlight w:val="none"/>
              </w:rPr>
              <w:t>联系人：</w:t>
            </w:r>
          </w:p>
          <w:p>
            <w:pPr>
              <w:spacing w:line="440" w:lineRule="exact"/>
              <w:rPr>
                <w:rFonts w:ascii="Times New Roman" w:hAnsi="Times New Roman"/>
                <w:color w:val="000000"/>
                <w:highlight w:val="none"/>
              </w:rPr>
            </w:pPr>
            <w:r>
              <w:rPr>
                <w:rFonts w:ascii="Times New Roman" w:hAnsi="Times New Roman"/>
                <w:color w:val="000000"/>
                <w:highlight w:val="none"/>
              </w:rPr>
              <w:t>电话：</w:t>
            </w:r>
          </w:p>
        </w:tc>
      </w:tr>
      <w:t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1.1.4</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招标项目名称</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1.1.5</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工程项目名称</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1.2.1</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资金来源及比例</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1.2.2</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资金落实情况</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p>
        </w:tc>
      </w:tr>
      <w:t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1.3.1</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招标范围</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1.3.2</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交货期</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交货期：</w:t>
            </w:r>
            <w:r>
              <w:rPr>
                <w:rFonts w:ascii="Times New Roman" w:hAnsi="Times New Roman"/>
                <w:color w:val="000000"/>
                <w:highlight w:val="none"/>
                <w:u w:val="single"/>
              </w:rPr>
              <w:t xml:space="preserve">       </w:t>
            </w:r>
            <w:r>
              <w:rPr>
                <w:rFonts w:ascii="Times New Roman" w:hAnsi="Times New Roman"/>
                <w:color w:val="000000"/>
                <w:highlight w:val="none"/>
              </w:rPr>
              <w:t>月</w:t>
            </w:r>
          </w:p>
          <w:p>
            <w:pPr>
              <w:spacing w:line="440" w:lineRule="exact"/>
              <w:rPr>
                <w:rFonts w:ascii="Times New Roman" w:hAnsi="Times New Roman"/>
                <w:color w:val="000000"/>
                <w:highlight w:val="none"/>
              </w:rPr>
            </w:pPr>
            <w:r>
              <w:rPr>
                <w:rFonts w:ascii="Times New Roman" w:hAnsi="Times New Roman"/>
                <w:color w:val="000000"/>
                <w:highlight w:val="none"/>
              </w:rPr>
              <w:t>计划开始</w:t>
            </w:r>
            <w:r>
              <w:rPr>
                <w:rFonts w:hint="eastAsia" w:ascii="Times New Roman" w:hAnsi="Times New Roman"/>
                <w:color w:val="000000"/>
                <w:highlight w:val="none"/>
              </w:rPr>
              <w:t>交货</w:t>
            </w:r>
            <w:r>
              <w:rPr>
                <w:rFonts w:ascii="Times New Roman" w:hAnsi="Times New Roman"/>
                <w:color w:val="000000"/>
                <w:highlight w:val="none"/>
              </w:rPr>
              <w:t>日期：</w:t>
            </w:r>
            <w:r>
              <w:rPr>
                <w:rFonts w:ascii="Times New Roman" w:hAnsi="Times New Roman" w:eastAsia="黑体"/>
                <w:color w:val="000000"/>
                <w:sz w:val="28"/>
                <w:highlight w:val="none"/>
                <w:u w:val="single"/>
              </w:rPr>
              <w:t xml:space="preserve">   </w:t>
            </w:r>
            <w:r>
              <w:rPr>
                <w:rFonts w:ascii="Times New Roman" w:hAnsi="Times New Roman"/>
                <w:color w:val="000000"/>
                <w:highlight w:val="none"/>
              </w:rPr>
              <w:t>年</w:t>
            </w:r>
            <w:r>
              <w:rPr>
                <w:rFonts w:ascii="Times New Roman" w:hAnsi="Times New Roman" w:eastAsia="黑体"/>
                <w:color w:val="000000"/>
                <w:sz w:val="28"/>
                <w:highlight w:val="none"/>
                <w:u w:val="single"/>
              </w:rPr>
              <w:t xml:space="preserve">    </w:t>
            </w:r>
            <w:r>
              <w:rPr>
                <w:rFonts w:ascii="Times New Roman" w:hAnsi="Times New Roman"/>
                <w:color w:val="000000"/>
                <w:highlight w:val="none"/>
              </w:rPr>
              <w:t>月</w:t>
            </w:r>
            <w:r>
              <w:rPr>
                <w:rFonts w:ascii="Times New Roman" w:hAnsi="Times New Roman" w:eastAsia="黑体"/>
                <w:color w:val="000000"/>
                <w:sz w:val="28"/>
                <w:highlight w:val="none"/>
                <w:u w:val="single"/>
              </w:rPr>
              <w:t xml:space="preserve">   </w:t>
            </w:r>
            <w:r>
              <w:rPr>
                <w:rFonts w:ascii="Times New Roman" w:hAnsi="Times New Roman"/>
                <w:color w:val="000000"/>
                <w:highlight w:val="none"/>
              </w:rPr>
              <w:t>日</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1.3.3</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交货地点</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olor w:val="000000"/>
                <w:highlight w:val="none"/>
              </w:rPr>
            </w:pPr>
            <w:r>
              <w:rPr>
                <w:rFonts w:ascii="Times New Roman" w:hAnsi="Times New Roman"/>
                <w:color w:val="000000"/>
                <w:highlight w:val="none"/>
              </w:rPr>
              <w:t>1.3.4</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质量标准</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p>
        </w:tc>
      </w:tr>
      <w:t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1.4.1</w:t>
            </w:r>
          </w:p>
        </w:tc>
        <w:tc>
          <w:tcPr>
            <w:tcW w:w="248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olor w:val="000000"/>
                <w:highlight w:val="none"/>
              </w:rPr>
            </w:pPr>
            <w:r>
              <w:rPr>
                <w:rFonts w:ascii="Times New Roman" w:hAnsi="Times New Roman"/>
                <w:color w:val="000000"/>
                <w:highlight w:val="none"/>
              </w:rPr>
              <w:t>投标人资质条件、能力</w:t>
            </w:r>
            <w:r>
              <w:rPr>
                <w:rFonts w:hint="eastAsia" w:ascii="Times New Roman" w:hAnsi="Times New Roman"/>
                <w:color w:val="000000"/>
                <w:highlight w:val="none"/>
              </w:rPr>
              <w:t>和</w:t>
            </w:r>
            <w:r>
              <w:rPr>
                <w:rFonts w:ascii="Times New Roman" w:hAnsi="Times New Roman"/>
                <w:color w:val="000000"/>
                <w:highlight w:val="none"/>
              </w:rPr>
              <w:t>信誉</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default" w:ascii="Times New Roman" w:hAnsi="Times New Roman"/>
                <w:highlight w:val="none"/>
                <w:u w:val="single"/>
              </w:rPr>
            </w:pPr>
            <w:r>
              <w:rPr>
                <w:rFonts w:ascii="Times New Roman" w:hAnsi="Times New Roman"/>
                <w:highlight w:val="none"/>
              </w:rPr>
              <w:t>（1）资质要求（对制造商资质有要求的，</w:t>
            </w:r>
            <w:r>
              <w:rPr>
                <w:rFonts w:hint="eastAsia" w:ascii="Times New Roman" w:hAnsi="Times New Roman"/>
                <w:highlight w:val="none"/>
              </w:rPr>
              <w:t>应</w:t>
            </w:r>
            <w:r>
              <w:rPr>
                <w:rFonts w:ascii="Times New Roman" w:hAnsi="Times New Roman"/>
                <w:highlight w:val="none"/>
              </w:rPr>
              <w:t>分别列出并注明）：</w:t>
            </w:r>
            <w:r>
              <w:rPr>
                <w:rFonts w:hint="eastAsia" w:ascii="Times New Roman" w:hAnsi="Times New Roman"/>
                <w:highlight w:val="none"/>
                <w:u w:val="single"/>
                <w:lang w:val="en-US" w:eastAsia="zh-CN"/>
              </w:rPr>
              <w:t xml:space="preserve">                     </w:t>
            </w:r>
          </w:p>
          <w:p>
            <w:pPr>
              <w:spacing w:line="440" w:lineRule="exact"/>
              <w:rPr>
                <w:rFonts w:hint="default" w:ascii="Times New Roman" w:hAnsi="Times New Roman"/>
                <w:highlight w:val="none"/>
                <w:u w:val="single"/>
              </w:rPr>
            </w:pPr>
            <w:r>
              <w:rPr>
                <w:rFonts w:ascii="Times New Roman" w:hAnsi="Times New Roman"/>
                <w:highlight w:val="none"/>
              </w:rPr>
              <w:t>（2）财务要求：</w:t>
            </w:r>
            <w:r>
              <w:rPr>
                <w:rFonts w:hint="eastAsia" w:ascii="Times New Roman" w:hAnsi="Times New Roman"/>
                <w:highlight w:val="none"/>
                <w:lang w:val="en-US" w:eastAsia="zh-CN"/>
              </w:rPr>
              <w:t xml:space="preserve"> </w:t>
            </w:r>
            <w:r>
              <w:rPr>
                <w:rFonts w:hint="eastAsia" w:ascii="Times New Roman" w:hAnsi="Times New Roman"/>
                <w:highlight w:val="none"/>
                <w:u w:val="single"/>
                <w:lang w:val="en-US" w:eastAsia="zh-CN"/>
              </w:rPr>
              <w:t xml:space="preserve">               </w:t>
            </w:r>
          </w:p>
          <w:p>
            <w:pPr>
              <w:spacing w:line="440" w:lineRule="exact"/>
              <w:rPr>
                <w:rFonts w:hint="default" w:ascii="Times New Roman" w:hAnsi="Times New Roman"/>
                <w:highlight w:val="none"/>
                <w:u w:val="single"/>
              </w:rPr>
            </w:pPr>
            <w:r>
              <w:rPr>
                <w:rFonts w:ascii="Times New Roman" w:hAnsi="Times New Roman"/>
                <w:highlight w:val="none"/>
              </w:rPr>
              <w:t>（3）投标人业绩：</w:t>
            </w:r>
            <w:r>
              <w:rPr>
                <w:rFonts w:hint="eastAsia" w:ascii="Times New Roman" w:hAnsi="Times New Roman"/>
                <w:highlight w:val="none"/>
                <w:u w:val="single"/>
                <w:lang w:val="en-US" w:eastAsia="zh-CN"/>
              </w:rPr>
              <w:t xml:space="preserve">              </w:t>
            </w:r>
          </w:p>
          <w:p>
            <w:pPr>
              <w:spacing w:line="440" w:lineRule="exact"/>
              <w:ind w:firstLine="525" w:firstLineChars="250"/>
              <w:rPr>
                <w:rFonts w:hint="default" w:ascii="Times New Roman" w:hAnsi="Times New Roman"/>
                <w:highlight w:val="none"/>
                <w:u w:val="single"/>
              </w:rPr>
            </w:pPr>
            <w:r>
              <w:rPr>
                <w:rFonts w:ascii="Times New Roman" w:hAnsi="Times New Roman"/>
                <w:highlight w:val="none"/>
              </w:rPr>
              <w:t>投标材料业绩：</w:t>
            </w:r>
            <w:r>
              <w:rPr>
                <w:rFonts w:hint="eastAsia" w:ascii="Times New Roman" w:hAnsi="Times New Roman"/>
                <w:highlight w:val="none"/>
                <w:u w:val="single"/>
                <w:lang w:val="en-US" w:eastAsia="zh-CN"/>
              </w:rPr>
              <w:t xml:space="preserve">            </w:t>
            </w:r>
          </w:p>
          <w:p>
            <w:pPr>
              <w:spacing w:line="440" w:lineRule="exact"/>
              <w:rPr>
                <w:rFonts w:hint="default" w:ascii="Times New Roman" w:hAnsi="Times New Roman"/>
                <w:highlight w:val="none"/>
                <w:u w:val="single"/>
              </w:rPr>
            </w:pPr>
            <w:r>
              <w:rPr>
                <w:rFonts w:ascii="Times New Roman" w:hAnsi="Times New Roman"/>
                <w:highlight w:val="none"/>
              </w:rPr>
              <w:t>（4）信誉要求：</w:t>
            </w:r>
            <w:r>
              <w:rPr>
                <w:rFonts w:hint="eastAsia" w:ascii="Times New Roman" w:hAnsi="Times New Roman"/>
                <w:highlight w:val="none"/>
                <w:u w:val="single"/>
                <w:lang w:val="en-US" w:eastAsia="zh-CN"/>
              </w:rPr>
              <w:t xml:space="preserve">                 </w:t>
            </w:r>
          </w:p>
          <w:p>
            <w:pPr>
              <w:spacing w:line="440" w:lineRule="exact"/>
              <w:rPr>
                <w:rFonts w:hint="default" w:ascii="Times New Roman" w:hAnsi="Times New Roman"/>
                <w:color w:val="000000"/>
                <w:highlight w:val="none"/>
                <w:u w:val="single"/>
              </w:rPr>
            </w:pPr>
            <w:r>
              <w:rPr>
                <w:rFonts w:ascii="Times New Roman" w:hAnsi="Times New Roman"/>
                <w:highlight w:val="none"/>
              </w:rPr>
              <w:t>（5）其他要求：</w:t>
            </w:r>
            <w:r>
              <w:rPr>
                <w:rFonts w:hint="eastAsia" w:ascii="Times New Roman" w:hAnsi="Times New Roman"/>
                <w:highlight w:val="none"/>
                <w:u w:val="single"/>
                <w:lang w:val="en-US" w:eastAsia="zh-CN"/>
              </w:rPr>
              <w:t xml:space="preserve">                 </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1.</w:t>
            </w:r>
            <w:r>
              <w:rPr>
                <w:rFonts w:ascii="Times New Roman" w:hAnsi="Times New Roman"/>
                <w:highlight w:val="none"/>
              </w:rPr>
              <w:t>4.2</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highlight w:val="none"/>
              </w:rPr>
              <w:t>是否接受联合体投标</w:t>
            </w:r>
          </w:p>
        </w:tc>
        <w:tc>
          <w:tcPr>
            <w:tcW w:w="5670"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Times New Roman" w:hAnsi="Times New Roman"/>
                <w:color w:val="000000"/>
                <w:highlight w:val="none"/>
              </w:rPr>
            </w:pPr>
            <w:r>
              <w:rPr>
                <w:rFonts w:ascii="Times New Roman" w:hAnsi="Times New Roman"/>
                <w:color w:val="000000"/>
                <w:sz w:val="32"/>
                <w:highlight w:val="none"/>
              </w:rPr>
              <w:t>□</w:t>
            </w:r>
            <w:r>
              <w:rPr>
                <w:rFonts w:ascii="Times New Roman" w:hAnsi="Times New Roman"/>
                <w:color w:val="000000"/>
                <w:highlight w:val="none"/>
              </w:rPr>
              <w:t>不</w:t>
            </w:r>
            <w:r>
              <w:rPr>
                <w:rFonts w:ascii="Times New Roman" w:hAnsi="Times New Roman"/>
                <w:highlight w:val="none"/>
              </w:rPr>
              <w:t>接受</w:t>
            </w:r>
          </w:p>
          <w:p>
            <w:pPr>
              <w:spacing w:line="440" w:lineRule="exact"/>
              <w:rPr>
                <w:rFonts w:ascii="Times New Roman" w:hAnsi="Times New Roman"/>
                <w:color w:val="000000"/>
                <w:sz w:val="32"/>
                <w:highlight w:val="none"/>
              </w:rPr>
            </w:pPr>
            <w:r>
              <w:rPr>
                <w:rFonts w:ascii="Times New Roman" w:hAnsi="Times New Roman"/>
                <w:sz w:val="32"/>
                <w:highlight w:val="none"/>
              </w:rPr>
              <w:t>□</w:t>
            </w:r>
            <w:r>
              <w:rPr>
                <w:rFonts w:ascii="Times New Roman" w:hAnsi="Times New Roman"/>
                <w:highlight w:val="none"/>
              </w:rPr>
              <w:t>接受，应满足下列要求：</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1.4.3</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highlight w:val="none"/>
              </w:rPr>
            </w:pPr>
            <w:r>
              <w:rPr>
                <w:rFonts w:ascii="Times New Roman" w:hAnsi="Times New Roman"/>
                <w:color w:val="000000"/>
                <w:szCs w:val="21"/>
                <w:highlight w:val="none"/>
              </w:rPr>
              <w:t>投标人不得存在的</w:t>
            </w:r>
            <w:r>
              <w:rPr>
                <w:rFonts w:hint="eastAsia" w:ascii="Times New Roman" w:hAnsi="Times New Roman"/>
                <w:color w:val="000000"/>
                <w:szCs w:val="21"/>
                <w:highlight w:val="none"/>
              </w:rPr>
              <w:t>其他</w:t>
            </w:r>
            <w:r>
              <w:rPr>
                <w:rFonts w:ascii="Times New Roman" w:hAnsi="Times New Roman"/>
                <w:color w:val="000000"/>
                <w:szCs w:val="21"/>
                <w:highlight w:val="none"/>
              </w:rPr>
              <w:t>情形</w:t>
            </w:r>
          </w:p>
        </w:tc>
        <w:tc>
          <w:tcPr>
            <w:tcW w:w="5670"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Times New Roman" w:hAnsi="Times New Roman"/>
                <w:color w:val="000000"/>
                <w:sz w:val="32"/>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1.</w:t>
            </w:r>
            <w:r>
              <w:rPr>
                <w:rFonts w:ascii="Times New Roman" w:hAnsi="Times New Roman"/>
                <w:highlight w:val="none"/>
              </w:rPr>
              <w:t>9</w:t>
            </w:r>
            <w:r>
              <w:rPr>
                <w:rFonts w:ascii="Times New Roman" w:hAnsi="Times New Roman"/>
                <w:color w:val="000000"/>
                <w:highlight w:val="none"/>
              </w:rPr>
              <w:t>.1</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投标预备会</w:t>
            </w:r>
          </w:p>
        </w:tc>
        <w:tc>
          <w:tcPr>
            <w:tcW w:w="5670" w:type="dxa"/>
            <w:tcBorders>
              <w:top w:val="single" w:color="auto" w:sz="4" w:space="0"/>
              <w:left w:val="single" w:color="auto" w:sz="4" w:space="0"/>
              <w:bottom w:val="single" w:color="auto" w:sz="4" w:space="0"/>
              <w:right w:val="single" w:color="auto" w:sz="4" w:space="0"/>
            </w:tcBorders>
            <w:vAlign w:val="center"/>
          </w:tcPr>
          <w:p>
            <w:pPr>
              <w:pStyle w:val="12"/>
              <w:topLinePunct/>
              <w:spacing w:line="400" w:lineRule="exact"/>
              <w:rPr>
                <w:rFonts w:ascii="Times New Roman" w:hAnsi="Times New Roman"/>
                <w:color w:val="000000"/>
                <w:sz w:val="21"/>
                <w:szCs w:val="22"/>
                <w:highlight w:val="none"/>
              </w:rPr>
            </w:pPr>
            <w:r>
              <w:rPr>
                <w:rFonts w:ascii="Times New Roman" w:hAnsi="Times New Roman"/>
                <w:color w:val="000000"/>
                <w:sz w:val="32"/>
                <w:highlight w:val="none"/>
              </w:rPr>
              <w:t>□</w:t>
            </w:r>
            <w:r>
              <w:rPr>
                <w:rFonts w:ascii="Times New Roman" w:hAnsi="Times New Roman"/>
                <w:color w:val="000000"/>
                <w:sz w:val="21"/>
                <w:szCs w:val="22"/>
                <w:highlight w:val="none"/>
              </w:rPr>
              <w:t>不召开</w:t>
            </w:r>
          </w:p>
          <w:p>
            <w:pPr>
              <w:spacing w:line="440" w:lineRule="exact"/>
              <w:rPr>
                <w:rFonts w:ascii="Times New Roman" w:hAnsi="Times New Roman"/>
                <w:color w:val="000000"/>
                <w:highlight w:val="none"/>
              </w:rPr>
            </w:pPr>
            <w:r>
              <w:rPr>
                <w:rFonts w:ascii="Times New Roman" w:hAnsi="Times New Roman"/>
                <w:color w:val="000000"/>
                <w:sz w:val="32"/>
                <w:highlight w:val="none"/>
              </w:rPr>
              <w:t>□</w:t>
            </w:r>
            <w:r>
              <w:rPr>
                <w:rFonts w:ascii="Times New Roman" w:hAnsi="Times New Roman"/>
                <w:color w:val="000000"/>
                <w:highlight w:val="none"/>
              </w:rPr>
              <w:t>召开，召开时间：</w:t>
            </w:r>
          </w:p>
          <w:p>
            <w:pPr>
              <w:spacing w:line="440" w:lineRule="exact"/>
              <w:ind w:firstLine="840" w:firstLineChars="400"/>
              <w:rPr>
                <w:rFonts w:ascii="Times New Roman" w:hAnsi="Times New Roman"/>
                <w:color w:val="000000"/>
                <w:highlight w:val="none"/>
              </w:rPr>
            </w:pPr>
            <w:r>
              <w:rPr>
                <w:rFonts w:ascii="Times New Roman" w:hAnsi="Times New Roman"/>
                <w:color w:val="000000"/>
                <w:highlight w:val="none"/>
              </w:rPr>
              <w:t>召开地点：</w:t>
            </w:r>
          </w:p>
        </w:tc>
      </w:tr>
      <w:tr>
        <w:tc>
          <w:tcPr>
            <w:tcW w:w="1165" w:type="dxa"/>
            <w:vMerge w:val="restart"/>
            <w:tcBorders>
              <w:top w:val="single" w:color="auto" w:sz="4" w:space="0"/>
              <w:left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1.</w:t>
            </w:r>
            <w:r>
              <w:rPr>
                <w:rFonts w:hint="eastAsia" w:ascii="Times New Roman" w:hAnsi="Times New Roman"/>
                <w:color w:val="000000"/>
                <w:highlight w:val="none"/>
              </w:rPr>
              <w:t>9</w:t>
            </w:r>
            <w:r>
              <w:rPr>
                <w:rFonts w:ascii="Times New Roman" w:hAnsi="Times New Roman"/>
                <w:color w:val="000000"/>
                <w:highlight w:val="none"/>
              </w:rPr>
              <w:t>.2</w:t>
            </w:r>
          </w:p>
        </w:tc>
        <w:tc>
          <w:tcPr>
            <w:tcW w:w="2487"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color w:val="000000"/>
                <w:highlight w:val="none"/>
              </w:rPr>
            </w:pPr>
            <w:r>
              <w:rPr>
                <w:rFonts w:ascii="Times New Roman" w:hAnsi="Times New Roman"/>
                <w:color w:val="000000"/>
                <w:highlight w:val="none"/>
              </w:rPr>
              <w:t>投标人在投标预备会前提出问题</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时间：</w:t>
            </w:r>
          </w:p>
        </w:tc>
      </w:tr>
      <w:tr>
        <w:tblPrEx>
          <w:tblCellMar>
            <w:top w:w="0" w:type="dxa"/>
            <w:left w:w="108" w:type="dxa"/>
            <w:bottom w:w="0" w:type="dxa"/>
            <w:right w:w="108" w:type="dxa"/>
          </w:tblCellMar>
        </w:tblPrEx>
        <w:tc>
          <w:tcPr>
            <w:tcW w:w="1165" w:type="dxa"/>
            <w:vMerge w:val="continue"/>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2487" w:type="dxa"/>
            <w:vMerge w:val="continue"/>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形式：</w:t>
            </w:r>
          </w:p>
        </w:tc>
      </w:tr>
      <w:tr>
        <w:tblPrEx>
          <w:tblCellMar>
            <w:top w:w="0" w:type="dxa"/>
            <w:left w:w="108" w:type="dxa"/>
            <w:bottom w:w="0" w:type="dxa"/>
            <w:right w:w="108" w:type="dxa"/>
          </w:tblCellMar>
        </w:tblPrEx>
        <w:tc>
          <w:tcPr>
            <w:tcW w:w="1165" w:type="dxa"/>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1.</w:t>
            </w:r>
            <w:r>
              <w:rPr>
                <w:rFonts w:hint="eastAsia" w:ascii="Times New Roman" w:hAnsi="Times New Roman"/>
                <w:color w:val="000000"/>
                <w:highlight w:val="none"/>
              </w:rPr>
              <w:t>9</w:t>
            </w:r>
            <w:r>
              <w:rPr>
                <w:rFonts w:ascii="Times New Roman" w:hAnsi="Times New Roman"/>
                <w:color w:val="000000"/>
                <w:highlight w:val="none"/>
              </w:rPr>
              <w:t>.3</w:t>
            </w:r>
          </w:p>
        </w:tc>
        <w:tc>
          <w:tcPr>
            <w:tcW w:w="2487" w:type="dxa"/>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招标文件澄清发出的形式</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highlight w:val="none"/>
              </w:rPr>
            </w:pPr>
            <w:r>
              <w:rPr>
                <w:rFonts w:hint="eastAsia" w:ascii="Times New Roman" w:hAnsi="Times New Roman"/>
                <w:highlight w:val="none"/>
              </w:rPr>
              <w:t>通过电子交易系统发出</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eastAsiaTheme="minorEastAsia"/>
                <w:color w:val="000000"/>
                <w:highlight w:val="none"/>
              </w:rPr>
              <w:t>1.10.1</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eastAsiaTheme="minorEastAsia"/>
                <w:color w:val="000000"/>
                <w:szCs w:val="21"/>
                <w:highlight w:val="none"/>
              </w:rPr>
              <w:t>分包</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szCs w:val="21"/>
                <w:highlight w:val="none"/>
              </w:rPr>
            </w:pPr>
            <w:r>
              <w:rPr>
                <w:rFonts w:ascii="Times New Roman" w:hAnsi="Times New Roman"/>
                <w:sz w:val="32"/>
                <w:highlight w:val="none"/>
              </w:rPr>
              <w:t>□</w:t>
            </w:r>
            <w:r>
              <w:rPr>
                <w:rFonts w:ascii="Times New Roman" w:hAnsi="Times New Roman"/>
                <w:szCs w:val="21"/>
                <w:highlight w:val="none"/>
              </w:rPr>
              <w:t>不允许</w:t>
            </w:r>
          </w:p>
          <w:p>
            <w:pPr>
              <w:spacing w:line="440" w:lineRule="exact"/>
              <w:rPr>
                <w:rFonts w:ascii="Times New Roman" w:hAnsi="Times New Roman"/>
                <w:szCs w:val="21"/>
                <w:highlight w:val="none"/>
              </w:rPr>
            </w:pPr>
            <w:r>
              <w:rPr>
                <w:rFonts w:ascii="Times New Roman" w:hAnsi="Times New Roman"/>
                <w:sz w:val="32"/>
                <w:highlight w:val="none"/>
              </w:rPr>
              <w:t>□</w:t>
            </w:r>
            <w:r>
              <w:rPr>
                <w:rFonts w:ascii="Times New Roman" w:hAnsi="Times New Roman"/>
                <w:szCs w:val="21"/>
                <w:highlight w:val="none"/>
              </w:rPr>
              <w:t>允许</w:t>
            </w:r>
            <w:r>
              <w:rPr>
                <w:rFonts w:hint="eastAsia" w:ascii="Times New Roman" w:hAnsi="Times New Roman"/>
                <w:szCs w:val="21"/>
                <w:highlight w:val="none"/>
              </w:rPr>
              <w:t>，</w:t>
            </w:r>
            <w:r>
              <w:rPr>
                <w:rFonts w:ascii="Times New Roman" w:hAnsi="Times New Roman"/>
                <w:szCs w:val="21"/>
                <w:highlight w:val="none"/>
              </w:rPr>
              <w:t>分包内容要求：</w:t>
            </w:r>
          </w:p>
          <w:p>
            <w:pPr>
              <w:spacing w:line="440" w:lineRule="exact"/>
              <w:ind w:firstLine="840" w:firstLineChars="400"/>
              <w:rPr>
                <w:rFonts w:ascii="Times New Roman" w:hAnsi="Times New Roman"/>
                <w:szCs w:val="21"/>
                <w:highlight w:val="none"/>
              </w:rPr>
            </w:pPr>
            <w:r>
              <w:rPr>
                <w:rFonts w:ascii="Times New Roman" w:hAnsi="Times New Roman"/>
                <w:szCs w:val="21"/>
                <w:highlight w:val="none"/>
              </w:rPr>
              <w:t>分包金额要求：</w:t>
            </w:r>
          </w:p>
          <w:p>
            <w:pPr>
              <w:spacing w:line="440" w:lineRule="exact"/>
              <w:ind w:firstLine="840" w:firstLineChars="400"/>
              <w:rPr>
                <w:rFonts w:ascii="Times New Roman" w:hAnsi="Times New Roman"/>
                <w:szCs w:val="21"/>
                <w:highlight w:val="none"/>
              </w:rPr>
            </w:pPr>
            <w:r>
              <w:rPr>
                <w:rFonts w:ascii="Times New Roman" w:hAnsi="Times New Roman"/>
                <w:szCs w:val="21"/>
                <w:highlight w:val="none"/>
              </w:rPr>
              <w:t>对分包人的资质要求：</w:t>
            </w:r>
          </w:p>
        </w:tc>
      </w:tr>
      <w:t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1.</w:t>
            </w:r>
            <w:r>
              <w:rPr>
                <w:rFonts w:ascii="Times New Roman" w:hAnsi="Times New Roman"/>
                <w:highlight w:val="none"/>
              </w:rPr>
              <w:t>11.1</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highlight w:val="none"/>
              </w:rPr>
              <w:t>实质性要求和条件</w:t>
            </w:r>
          </w:p>
        </w:tc>
        <w:tc>
          <w:tcPr>
            <w:tcW w:w="5670" w:type="dxa"/>
            <w:tcBorders>
              <w:top w:val="single" w:color="auto" w:sz="4" w:space="0"/>
              <w:left w:val="single" w:color="auto" w:sz="4" w:space="0"/>
              <w:bottom w:val="single" w:color="auto" w:sz="4" w:space="0"/>
              <w:right w:val="single" w:color="auto" w:sz="4" w:space="0"/>
            </w:tcBorders>
            <w:vAlign w:val="center"/>
          </w:tcPr>
          <w:p>
            <w:pPr>
              <w:pStyle w:val="12"/>
              <w:topLinePunct/>
              <w:spacing w:line="400" w:lineRule="exact"/>
              <w:rPr>
                <w:rFonts w:ascii="Times New Roman" w:hAnsi="Times New Roman"/>
                <w:color w:val="000000"/>
                <w:sz w:val="21"/>
                <w:szCs w:val="22"/>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1.11.3</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ascii="Times New Roman" w:hAnsi="Times New Roman"/>
                <w:highlight w:val="none"/>
              </w:rPr>
            </w:pPr>
            <w:r>
              <w:rPr>
                <w:rFonts w:ascii="Times New Roman" w:hAnsi="Times New Roman"/>
                <w:color w:val="000000"/>
                <w:highlight w:val="none"/>
              </w:rPr>
              <w:t>其他可以被接受的技术支持资料</w:t>
            </w:r>
          </w:p>
        </w:tc>
        <w:tc>
          <w:tcPr>
            <w:tcW w:w="5670" w:type="dxa"/>
            <w:tcBorders>
              <w:top w:val="single" w:color="auto" w:sz="4" w:space="0"/>
              <w:left w:val="single" w:color="auto" w:sz="4" w:space="0"/>
              <w:bottom w:val="single" w:color="auto" w:sz="4" w:space="0"/>
              <w:right w:val="single" w:color="auto" w:sz="4" w:space="0"/>
            </w:tcBorders>
          </w:tcPr>
          <w:p>
            <w:pPr>
              <w:pStyle w:val="12"/>
              <w:topLinePunct/>
              <w:spacing w:line="400" w:lineRule="exact"/>
              <w:ind w:firstLine="945" w:firstLineChars="450"/>
              <w:rPr>
                <w:rFonts w:ascii="Times New Roman" w:hAnsi="Times New Roman"/>
                <w:sz w:val="21"/>
                <w:szCs w:val="22"/>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highlight w:val="none"/>
              </w:rPr>
            </w:pPr>
            <w:r>
              <w:rPr>
                <w:rFonts w:ascii="Times New Roman" w:hAnsi="Times New Roman"/>
                <w:highlight w:val="none"/>
              </w:rPr>
              <w:t>1.11.4</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highlight w:val="none"/>
              </w:rPr>
            </w:pPr>
            <w:r>
              <w:rPr>
                <w:rFonts w:ascii="Times New Roman" w:hAnsi="Times New Roman"/>
                <w:highlight w:val="none"/>
              </w:rPr>
              <w:t>偏差</w:t>
            </w:r>
          </w:p>
        </w:tc>
        <w:tc>
          <w:tcPr>
            <w:tcW w:w="5670" w:type="dxa"/>
            <w:tcBorders>
              <w:top w:val="single" w:color="auto" w:sz="4" w:space="0"/>
              <w:left w:val="single" w:color="auto" w:sz="4" w:space="0"/>
              <w:bottom w:val="single" w:color="auto" w:sz="4" w:space="0"/>
              <w:right w:val="single" w:color="auto" w:sz="4" w:space="0"/>
            </w:tcBorders>
          </w:tcPr>
          <w:p>
            <w:pPr>
              <w:spacing w:line="440" w:lineRule="exact"/>
              <w:rPr>
                <w:rFonts w:ascii="Times New Roman" w:hAnsi="Times New Roman"/>
                <w:szCs w:val="21"/>
                <w:highlight w:val="none"/>
              </w:rPr>
            </w:pPr>
            <w:r>
              <w:rPr>
                <w:rFonts w:ascii="Times New Roman" w:hAnsi="Times New Roman"/>
                <w:sz w:val="32"/>
                <w:highlight w:val="none"/>
              </w:rPr>
              <w:t>□</w:t>
            </w:r>
            <w:r>
              <w:rPr>
                <w:rFonts w:ascii="Times New Roman" w:hAnsi="Times New Roman"/>
                <w:szCs w:val="21"/>
                <w:highlight w:val="none"/>
              </w:rPr>
              <w:t>不允许</w:t>
            </w:r>
          </w:p>
          <w:p>
            <w:pPr>
              <w:pStyle w:val="12"/>
              <w:topLinePunct/>
              <w:spacing w:line="400" w:lineRule="exact"/>
              <w:rPr>
                <w:rFonts w:ascii="Times New Roman" w:hAnsi="Times New Roman"/>
                <w:sz w:val="21"/>
                <w:szCs w:val="22"/>
                <w:highlight w:val="none"/>
              </w:rPr>
            </w:pPr>
            <w:r>
              <w:rPr>
                <w:rFonts w:ascii="Times New Roman" w:hAnsi="Times New Roman"/>
                <w:sz w:val="32"/>
                <w:highlight w:val="none"/>
              </w:rPr>
              <w:t>□</w:t>
            </w:r>
            <w:r>
              <w:rPr>
                <w:rFonts w:hint="eastAsia" w:ascii="Times New Roman" w:hAnsi="Times New Roman"/>
                <w:sz w:val="21"/>
                <w:szCs w:val="21"/>
                <w:highlight w:val="none"/>
              </w:rPr>
              <w:t>允许，偏差范围：</w:t>
            </w:r>
          </w:p>
          <w:p>
            <w:pPr>
              <w:pStyle w:val="12"/>
              <w:topLinePunct/>
              <w:spacing w:line="400" w:lineRule="exact"/>
              <w:ind w:firstLine="945" w:firstLineChars="450"/>
              <w:rPr>
                <w:rFonts w:ascii="Times New Roman" w:hAnsi="Times New Roman"/>
                <w:sz w:val="21"/>
                <w:szCs w:val="22"/>
                <w:highlight w:val="none"/>
              </w:rPr>
            </w:pPr>
            <w:r>
              <w:rPr>
                <w:rFonts w:ascii="Times New Roman" w:hAnsi="Times New Roman"/>
                <w:sz w:val="21"/>
                <w:szCs w:val="22"/>
                <w:highlight w:val="none"/>
              </w:rPr>
              <w:t>最高项数：</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2.1</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构成招标文件的其他资料</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p>
        </w:tc>
      </w:tr>
      <w:tr>
        <w:tc>
          <w:tcPr>
            <w:tcW w:w="1165" w:type="dxa"/>
            <w:vMerge w:val="restart"/>
            <w:tcBorders>
              <w:top w:val="single" w:color="auto" w:sz="4" w:space="0"/>
              <w:left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2.2.1</w:t>
            </w:r>
          </w:p>
        </w:tc>
        <w:tc>
          <w:tcPr>
            <w:tcW w:w="2487"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color w:val="000000"/>
                <w:highlight w:val="none"/>
              </w:rPr>
            </w:pPr>
            <w:r>
              <w:rPr>
                <w:rFonts w:ascii="Times New Roman" w:hAnsi="Times New Roman"/>
                <w:color w:val="000000"/>
                <w:highlight w:val="none"/>
              </w:rPr>
              <w:t>投标人要求澄清招标文件</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时间：</w:t>
            </w:r>
          </w:p>
        </w:tc>
      </w:tr>
      <w:tr>
        <w:tblPrEx>
          <w:tblCellMar>
            <w:top w:w="0" w:type="dxa"/>
            <w:left w:w="108" w:type="dxa"/>
            <w:bottom w:w="0" w:type="dxa"/>
            <w:right w:w="108" w:type="dxa"/>
          </w:tblCellMar>
        </w:tblPrEx>
        <w:tc>
          <w:tcPr>
            <w:tcW w:w="1165" w:type="dxa"/>
            <w:vMerge w:val="continue"/>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2487" w:type="dxa"/>
            <w:vMerge w:val="continue"/>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形式：</w:t>
            </w:r>
          </w:p>
        </w:tc>
      </w:tr>
      <w:tr>
        <w:tblPrEx>
          <w:tblCellMar>
            <w:top w:w="0" w:type="dxa"/>
            <w:left w:w="108" w:type="dxa"/>
            <w:bottom w:w="0" w:type="dxa"/>
            <w:right w:w="108" w:type="dxa"/>
          </w:tblCellMar>
        </w:tblPrEx>
        <w:tc>
          <w:tcPr>
            <w:tcW w:w="1165" w:type="dxa"/>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2.2.2</w:t>
            </w:r>
          </w:p>
        </w:tc>
        <w:tc>
          <w:tcPr>
            <w:tcW w:w="2487" w:type="dxa"/>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招标文件澄清发出的形式</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hint="eastAsia" w:ascii="Times New Roman" w:hAnsi="Times New Roman"/>
                <w:highlight w:val="none"/>
              </w:rPr>
              <w:t>通过电子交易系统发出</w:t>
            </w:r>
          </w:p>
        </w:tc>
      </w:tr>
      <w:tr>
        <w:tblPrEx>
          <w:tblCellMar>
            <w:top w:w="0" w:type="dxa"/>
            <w:left w:w="108" w:type="dxa"/>
            <w:bottom w:w="0" w:type="dxa"/>
            <w:right w:w="108" w:type="dxa"/>
          </w:tblCellMar>
        </w:tblPrEx>
        <w:tc>
          <w:tcPr>
            <w:tcW w:w="1165" w:type="dxa"/>
            <w:vMerge w:val="restart"/>
            <w:tcBorders>
              <w:top w:val="single" w:color="auto" w:sz="4" w:space="0"/>
              <w:left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2.2.3</w:t>
            </w:r>
          </w:p>
        </w:tc>
        <w:tc>
          <w:tcPr>
            <w:tcW w:w="2487"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color w:val="000000"/>
                <w:highlight w:val="none"/>
              </w:rPr>
            </w:pPr>
            <w:r>
              <w:rPr>
                <w:rFonts w:ascii="Times New Roman" w:hAnsi="Times New Roman"/>
                <w:color w:val="000000"/>
                <w:highlight w:val="none"/>
              </w:rPr>
              <w:t>投标人确认收到招标文件澄清</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时间：</w:t>
            </w:r>
          </w:p>
        </w:tc>
      </w:tr>
      <w:tr>
        <w:tc>
          <w:tcPr>
            <w:tcW w:w="1165" w:type="dxa"/>
            <w:vMerge w:val="continue"/>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2487" w:type="dxa"/>
            <w:vMerge w:val="continue"/>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形式：</w:t>
            </w:r>
          </w:p>
        </w:tc>
      </w:tr>
      <w:tr>
        <w:tblPrEx>
          <w:tblCellMar>
            <w:top w:w="0" w:type="dxa"/>
            <w:left w:w="108" w:type="dxa"/>
            <w:bottom w:w="0" w:type="dxa"/>
            <w:right w:w="108" w:type="dxa"/>
          </w:tblCellMar>
        </w:tblPrEx>
        <w:tc>
          <w:tcPr>
            <w:tcW w:w="1165" w:type="dxa"/>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2.3.1</w:t>
            </w:r>
          </w:p>
        </w:tc>
        <w:tc>
          <w:tcPr>
            <w:tcW w:w="2487" w:type="dxa"/>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招标文件修改发出的形式</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hint="eastAsia" w:ascii="Times New Roman" w:hAnsi="Times New Roman"/>
                <w:highlight w:val="none"/>
              </w:rPr>
              <w:t>通过电子交易系统发出</w:t>
            </w:r>
          </w:p>
        </w:tc>
      </w:tr>
      <w:tr>
        <w:tblPrEx>
          <w:tblCellMar>
            <w:top w:w="0" w:type="dxa"/>
            <w:left w:w="108" w:type="dxa"/>
            <w:bottom w:w="0" w:type="dxa"/>
            <w:right w:w="108" w:type="dxa"/>
          </w:tblCellMar>
        </w:tblPrEx>
        <w:tc>
          <w:tcPr>
            <w:tcW w:w="1165" w:type="dxa"/>
            <w:vMerge w:val="restart"/>
            <w:tcBorders>
              <w:top w:val="single" w:color="auto" w:sz="4" w:space="0"/>
              <w:left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2.3.2</w:t>
            </w:r>
          </w:p>
        </w:tc>
        <w:tc>
          <w:tcPr>
            <w:tcW w:w="2487"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color w:val="000000"/>
                <w:highlight w:val="none"/>
              </w:rPr>
            </w:pPr>
            <w:r>
              <w:rPr>
                <w:rFonts w:ascii="Times New Roman" w:hAnsi="Times New Roman"/>
                <w:color w:val="000000"/>
                <w:highlight w:val="none"/>
              </w:rPr>
              <w:t>投标人确认收到招标文件修改</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时间：</w:t>
            </w:r>
          </w:p>
        </w:tc>
      </w:tr>
      <w:tr>
        <w:tblPrEx>
          <w:tblCellMar>
            <w:top w:w="0" w:type="dxa"/>
            <w:left w:w="108" w:type="dxa"/>
            <w:bottom w:w="0" w:type="dxa"/>
            <w:right w:w="108" w:type="dxa"/>
          </w:tblCellMar>
        </w:tblPrEx>
        <w:tc>
          <w:tcPr>
            <w:tcW w:w="1165" w:type="dxa"/>
            <w:vMerge w:val="continue"/>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2487" w:type="dxa"/>
            <w:vMerge w:val="continue"/>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形式：</w:t>
            </w:r>
          </w:p>
        </w:tc>
      </w:tr>
      <w:t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3.1.1</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构成投标文件的其他资料</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3.2.1</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增值税税金的计算方法</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3.2.</w:t>
            </w:r>
            <w:r>
              <w:rPr>
                <w:rFonts w:hint="eastAsia" w:ascii="Times New Roman" w:hAnsi="Times New Roman"/>
                <w:color w:val="000000"/>
                <w:highlight w:val="none"/>
              </w:rPr>
              <w:t>4</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最高投标限价</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sz w:val="32"/>
                <w:highlight w:val="none"/>
              </w:rPr>
              <w:t>□</w:t>
            </w:r>
            <w:r>
              <w:rPr>
                <w:rFonts w:ascii="Times New Roman" w:hAnsi="Times New Roman"/>
                <w:highlight w:val="none"/>
              </w:rPr>
              <w:t>无</w:t>
            </w:r>
          </w:p>
          <w:p>
            <w:pPr>
              <w:spacing w:line="440" w:lineRule="exact"/>
              <w:rPr>
                <w:rFonts w:ascii="Times New Roman" w:hAnsi="Times New Roman"/>
                <w:highlight w:val="none"/>
              </w:rPr>
            </w:pPr>
            <w:r>
              <w:rPr>
                <w:rFonts w:ascii="Times New Roman" w:hAnsi="Times New Roman"/>
                <w:sz w:val="32"/>
                <w:highlight w:val="none"/>
              </w:rPr>
              <w:t>□</w:t>
            </w:r>
            <w:r>
              <w:rPr>
                <w:rFonts w:ascii="Times New Roman" w:hAnsi="Times New Roman"/>
                <w:highlight w:val="none"/>
              </w:rPr>
              <w:t>有，最高投标限价：</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3.2.</w:t>
            </w:r>
            <w:r>
              <w:rPr>
                <w:rFonts w:hint="eastAsia" w:ascii="Times New Roman" w:hAnsi="Times New Roman"/>
                <w:color w:val="000000"/>
                <w:highlight w:val="none"/>
              </w:rPr>
              <w:t>5</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投标报价的其他要求</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hint="eastAsia" w:ascii="Times New Roman" w:hAnsi="Times New Roman"/>
                <w:color w:val="000000"/>
                <w:highlight w:val="none"/>
              </w:rPr>
              <w:t>投标报价的其他要求</w:t>
            </w:r>
          </w:p>
          <w:p>
            <w:pPr>
              <w:spacing w:line="440" w:lineRule="exact"/>
              <w:rPr>
                <w:rFonts w:ascii="Times New Roman" w:hAnsi="Times New Roman"/>
                <w:color w:val="000000"/>
                <w:highlight w:val="none"/>
              </w:rPr>
            </w:pPr>
            <w:r>
              <w:rPr>
                <w:rFonts w:hint="eastAsia" w:ascii="Times New Roman" w:hAnsi="Times New Roman"/>
                <w:color w:val="000000"/>
                <w:highlight w:val="none"/>
              </w:rPr>
              <w:t>（1）招标代理服务费：</w:t>
            </w:r>
          </w:p>
          <w:p>
            <w:pPr>
              <w:spacing w:line="440" w:lineRule="exact"/>
              <w:rPr>
                <w:rFonts w:ascii="Times New Roman" w:hAnsi="Times New Roman"/>
                <w:color w:val="000000"/>
                <w:highlight w:val="none"/>
              </w:rPr>
            </w:pPr>
            <w:r>
              <w:rPr>
                <w:rFonts w:hint="eastAsia" w:ascii="Times New Roman" w:hAnsi="Times New Roman"/>
                <w:color w:val="000000"/>
                <w:highlight w:val="none"/>
              </w:rPr>
              <w:t>（2）工程交易服务费：</w:t>
            </w:r>
          </w:p>
          <w:p>
            <w:pPr>
              <w:spacing w:line="440" w:lineRule="exact"/>
              <w:rPr>
                <w:rFonts w:ascii="Times New Roman" w:hAnsi="Times New Roman"/>
                <w:color w:val="000000"/>
                <w:highlight w:val="none"/>
              </w:rPr>
            </w:pPr>
            <w:r>
              <w:rPr>
                <w:rFonts w:hint="eastAsia" w:ascii="Times New Roman" w:hAnsi="Times New Roman"/>
                <w:color w:val="000000"/>
                <w:highlight w:val="none"/>
              </w:rPr>
              <w:t>……</w:t>
            </w:r>
          </w:p>
        </w:tc>
      </w:tr>
      <w:t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3.3.1</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投标有效期</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bookmarkStart w:id="113" w:name="_Toc352691470"/>
            <w:bookmarkStart w:id="114" w:name="_Toc369531512"/>
            <w:bookmarkStart w:id="115" w:name="_Toc384308207"/>
            <w:bookmarkStart w:id="116" w:name="_Toc361508582"/>
            <w:bookmarkStart w:id="117" w:name="_Toc300834946"/>
            <w:bookmarkStart w:id="118" w:name="_Toc1789"/>
          </w:p>
        </w:tc>
      </w:tr>
      <w:bookmarkEnd w:id="113"/>
      <w:bookmarkEnd w:id="114"/>
      <w:bookmarkEnd w:id="115"/>
      <w:bookmarkEnd w:id="116"/>
      <w:bookmarkEnd w:id="117"/>
      <w:bookmarkEnd w:id="118"/>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3.4.1</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投标保证金</w:t>
            </w:r>
          </w:p>
        </w:tc>
        <w:tc>
          <w:tcPr>
            <w:tcW w:w="5670" w:type="dxa"/>
            <w:tcBorders>
              <w:top w:val="single" w:color="auto" w:sz="4" w:space="0"/>
              <w:left w:val="single" w:color="auto" w:sz="4" w:space="0"/>
              <w:bottom w:val="single" w:color="auto" w:sz="4" w:space="0"/>
              <w:right w:val="single" w:color="auto" w:sz="4" w:space="0"/>
            </w:tcBorders>
            <w:vAlign w:val="center"/>
          </w:tcPr>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是否要求投标人递交投标保证金：</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□要求</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投标保证金的形式：保函或电汇或转账或保险。</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投标保证金的金额：          。</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递交方式：</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（1）采用电汇或转账</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①投标保证金的到账截止时间：同投标截止时间</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②应当从其基本账户转出，          。（说明：可根据各地公共资源交易中心具体情况作出约定）</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③转入的开户银行及账号：          。</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（2）采用保函</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①纸质保函：（说明：如接受纸质保函，可根据各地公共资源交易中心具体情况作出约定）。</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 xml:space="preserve">②电子保函： （说明：如接受电子保函，可根据各地公共资源交易中心具体情况作出约定）。  </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（3）其他要求：          。（说明：可根据各地公共资源交易中心具体情况作出约定）</w:t>
            </w:r>
          </w:p>
          <w:p>
            <w:pPr>
              <w:pStyle w:val="12"/>
              <w:topLinePunct/>
              <w:spacing w:line="400" w:lineRule="exact"/>
              <w:rPr>
                <w:rFonts w:ascii="Times New Roman" w:hAnsi="Times New Roman"/>
                <w:color w:val="000000"/>
                <w:szCs w:val="22"/>
                <w:highlight w:val="none"/>
              </w:rPr>
            </w:pPr>
            <w:r>
              <w:rPr>
                <w:rFonts w:hint="eastAsia" w:ascii="Times New Roman" w:hAnsi="Times New Roman"/>
                <w:sz w:val="21"/>
                <w:szCs w:val="22"/>
                <w:highlight w:val="none"/>
              </w:rPr>
              <w:t>□不要求</w:t>
            </w: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3.4.4</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szCs w:val="21"/>
                <w:highlight w:val="none"/>
              </w:rPr>
              <w:t>其他可以不予退还投标保证金的情形</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3.5</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szCs w:val="21"/>
                <w:highlight w:val="none"/>
              </w:rPr>
            </w:pPr>
            <w:r>
              <w:rPr>
                <w:rFonts w:ascii="Times New Roman" w:hAnsi="Times New Roman"/>
                <w:highlight w:val="none"/>
              </w:rPr>
              <w:t>资格审查资料</w:t>
            </w:r>
            <w:r>
              <w:rPr>
                <w:rFonts w:ascii="Times New Roman" w:hAnsi="Times New Roman"/>
                <w:szCs w:val="21"/>
                <w:highlight w:val="none"/>
              </w:rPr>
              <w:t>的特殊要求</w:t>
            </w:r>
          </w:p>
        </w:tc>
        <w:tc>
          <w:tcPr>
            <w:tcW w:w="5670" w:type="dxa"/>
            <w:tcBorders>
              <w:top w:val="single" w:color="auto" w:sz="4" w:space="0"/>
              <w:left w:val="single" w:color="auto" w:sz="4" w:space="0"/>
              <w:bottom w:val="single" w:color="auto" w:sz="4" w:space="0"/>
              <w:right w:val="single" w:color="auto" w:sz="4" w:space="0"/>
            </w:tcBorders>
            <w:vAlign w:val="center"/>
          </w:tcPr>
          <w:p>
            <w:pPr>
              <w:pStyle w:val="12"/>
              <w:topLinePunct/>
              <w:spacing w:line="400" w:lineRule="exact"/>
              <w:rPr>
                <w:rFonts w:ascii="Times New Roman" w:hAnsi="Times New Roman"/>
                <w:color w:val="000000"/>
                <w:sz w:val="21"/>
                <w:szCs w:val="21"/>
                <w:highlight w:val="none"/>
              </w:rPr>
            </w:pPr>
            <w:r>
              <w:rPr>
                <w:rFonts w:ascii="Times New Roman" w:hAnsi="Times New Roman"/>
                <w:color w:val="000000"/>
                <w:sz w:val="32"/>
                <w:highlight w:val="none"/>
              </w:rPr>
              <w:t>□</w:t>
            </w:r>
            <w:r>
              <w:rPr>
                <w:rFonts w:ascii="Times New Roman" w:hAnsi="Times New Roman"/>
                <w:sz w:val="21"/>
                <w:szCs w:val="22"/>
                <w:highlight w:val="none"/>
              </w:rPr>
              <w:t>无</w:t>
            </w:r>
          </w:p>
          <w:p>
            <w:pPr>
              <w:pStyle w:val="12"/>
              <w:topLinePunct/>
              <w:spacing w:line="400" w:lineRule="exact"/>
              <w:rPr>
                <w:rFonts w:ascii="Times New Roman" w:hAnsi="Times New Roman"/>
                <w:color w:val="000000"/>
                <w:szCs w:val="22"/>
                <w:highlight w:val="none"/>
              </w:rPr>
            </w:pPr>
            <w:r>
              <w:rPr>
                <w:rFonts w:ascii="Times New Roman" w:hAnsi="Times New Roman"/>
                <w:color w:val="000000"/>
                <w:sz w:val="32"/>
                <w:highlight w:val="none"/>
              </w:rPr>
              <w:t>□</w:t>
            </w:r>
            <w:r>
              <w:rPr>
                <w:rFonts w:ascii="Times New Roman" w:hAnsi="Times New Roman"/>
                <w:sz w:val="21"/>
                <w:szCs w:val="22"/>
                <w:highlight w:val="none"/>
              </w:rPr>
              <w:t>有，具体要求：</w:t>
            </w: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3.5.2</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szCs w:val="21"/>
                <w:highlight w:val="none"/>
              </w:rPr>
            </w:pPr>
            <w:r>
              <w:rPr>
                <w:rFonts w:ascii="Times New Roman" w:hAnsi="Times New Roman"/>
                <w:highlight w:val="none"/>
              </w:rPr>
              <w:t>近年财务状况的年份要求</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u w:val="single"/>
              </w:rPr>
            </w:pPr>
            <w:r>
              <w:rPr>
                <w:rFonts w:ascii="Times New Roman" w:hAnsi="Times New Roman" w:eastAsia="黑体"/>
                <w:color w:val="000000"/>
                <w:sz w:val="28"/>
                <w:highlight w:val="none"/>
                <w:u w:val="single"/>
              </w:rPr>
              <w:t xml:space="preserve">    </w:t>
            </w:r>
            <w:r>
              <w:rPr>
                <w:rFonts w:ascii="Times New Roman" w:hAnsi="Times New Roman"/>
                <w:color w:val="000000"/>
                <w:highlight w:val="none"/>
              </w:rPr>
              <w:t>年至</w:t>
            </w:r>
            <w:r>
              <w:rPr>
                <w:rFonts w:ascii="Times New Roman" w:hAnsi="Times New Roman" w:eastAsia="黑体"/>
                <w:color w:val="000000"/>
                <w:sz w:val="28"/>
                <w:highlight w:val="none"/>
                <w:u w:val="single"/>
              </w:rPr>
              <w:t xml:space="preserve">    </w:t>
            </w:r>
            <w:r>
              <w:rPr>
                <w:rFonts w:ascii="Times New Roman" w:hAnsi="Times New Roman"/>
                <w:color w:val="000000"/>
                <w:highlight w:val="none"/>
              </w:rPr>
              <w:t>年</w:t>
            </w: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3.5.3</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szCs w:val="21"/>
                <w:highlight w:val="none"/>
              </w:rPr>
            </w:pPr>
            <w:r>
              <w:rPr>
                <w:rFonts w:ascii="Times New Roman" w:hAnsi="Times New Roman"/>
                <w:highlight w:val="none"/>
              </w:rPr>
              <w:t>近年完成的类似项目情况</w:t>
            </w:r>
            <w:r>
              <w:rPr>
                <w:rFonts w:hint="eastAsia" w:ascii="Times New Roman" w:hAnsi="Times New Roman"/>
                <w:highlight w:val="none"/>
              </w:rPr>
              <w:t>的</w:t>
            </w:r>
            <w:r>
              <w:rPr>
                <w:rFonts w:ascii="Times New Roman" w:hAnsi="Times New Roman"/>
                <w:highlight w:val="none"/>
              </w:rPr>
              <w:t>时间要求</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eastAsia="黑体"/>
                <w:color w:val="000000"/>
                <w:sz w:val="28"/>
                <w:highlight w:val="none"/>
                <w:u w:val="single"/>
              </w:rPr>
              <w:t xml:space="preserve">    </w:t>
            </w:r>
            <w:r>
              <w:rPr>
                <w:rFonts w:ascii="Times New Roman" w:hAnsi="Times New Roman"/>
                <w:color w:val="000000"/>
                <w:highlight w:val="none"/>
              </w:rPr>
              <w:t>年</w:t>
            </w:r>
            <w:r>
              <w:rPr>
                <w:rFonts w:ascii="Times New Roman" w:hAnsi="Times New Roman" w:eastAsia="黑体"/>
                <w:color w:val="000000"/>
                <w:sz w:val="28"/>
                <w:highlight w:val="none"/>
                <w:u w:val="single"/>
              </w:rPr>
              <w:t xml:space="preserve">    </w:t>
            </w:r>
            <w:r>
              <w:rPr>
                <w:rFonts w:ascii="Times New Roman" w:hAnsi="Times New Roman"/>
                <w:color w:val="000000"/>
                <w:highlight w:val="none"/>
              </w:rPr>
              <w:t>月</w:t>
            </w:r>
            <w:r>
              <w:rPr>
                <w:rFonts w:ascii="Times New Roman" w:hAnsi="Times New Roman" w:eastAsia="黑体"/>
                <w:color w:val="000000"/>
                <w:sz w:val="28"/>
                <w:highlight w:val="none"/>
                <w:u w:val="single"/>
              </w:rPr>
              <w:t xml:space="preserve">    </w:t>
            </w:r>
            <w:r>
              <w:rPr>
                <w:rFonts w:ascii="Times New Roman" w:hAnsi="Times New Roman"/>
                <w:color w:val="000000"/>
                <w:highlight w:val="none"/>
              </w:rPr>
              <w:t>日</w:t>
            </w:r>
          </w:p>
          <w:p>
            <w:pPr>
              <w:spacing w:line="440" w:lineRule="exact"/>
              <w:ind w:firstLine="525" w:firstLineChars="250"/>
              <w:rPr>
                <w:rFonts w:ascii="Times New Roman" w:hAnsi="Times New Roman"/>
                <w:color w:val="000000"/>
                <w:highlight w:val="none"/>
              </w:rPr>
            </w:pPr>
            <w:r>
              <w:rPr>
                <w:rFonts w:ascii="Times New Roman" w:hAnsi="Times New Roman"/>
                <w:color w:val="000000"/>
                <w:highlight w:val="none"/>
              </w:rPr>
              <w:t>至</w:t>
            </w:r>
            <w:r>
              <w:rPr>
                <w:rFonts w:ascii="Times New Roman" w:hAnsi="Times New Roman" w:eastAsia="黑体"/>
                <w:color w:val="000000"/>
                <w:sz w:val="28"/>
                <w:highlight w:val="none"/>
                <w:u w:val="single"/>
              </w:rPr>
              <w:t xml:space="preserve">    </w:t>
            </w:r>
            <w:r>
              <w:rPr>
                <w:rFonts w:ascii="Times New Roman" w:hAnsi="Times New Roman"/>
                <w:color w:val="000000"/>
                <w:highlight w:val="none"/>
              </w:rPr>
              <w:t>年</w:t>
            </w:r>
            <w:r>
              <w:rPr>
                <w:rFonts w:ascii="Times New Roman" w:hAnsi="Times New Roman" w:eastAsia="黑体"/>
                <w:color w:val="000000"/>
                <w:sz w:val="28"/>
                <w:highlight w:val="none"/>
                <w:u w:val="single"/>
              </w:rPr>
              <w:t xml:space="preserve">    </w:t>
            </w:r>
            <w:r>
              <w:rPr>
                <w:rFonts w:ascii="Times New Roman" w:hAnsi="Times New Roman"/>
                <w:color w:val="000000"/>
                <w:highlight w:val="none"/>
              </w:rPr>
              <w:t>月</w:t>
            </w:r>
            <w:r>
              <w:rPr>
                <w:rFonts w:ascii="Times New Roman" w:hAnsi="Times New Roman" w:eastAsia="黑体"/>
                <w:color w:val="000000"/>
                <w:sz w:val="28"/>
                <w:highlight w:val="none"/>
                <w:u w:val="single"/>
              </w:rPr>
              <w:t xml:space="preserve">    </w:t>
            </w:r>
            <w:r>
              <w:rPr>
                <w:rFonts w:ascii="Times New Roman" w:hAnsi="Times New Roman"/>
                <w:color w:val="000000"/>
                <w:highlight w:val="none"/>
              </w:rPr>
              <w:t>日</w:t>
            </w: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3.5.5</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szCs w:val="21"/>
                <w:highlight w:val="none"/>
              </w:rPr>
            </w:pPr>
            <w:r>
              <w:rPr>
                <w:rFonts w:ascii="Times New Roman" w:hAnsi="Times New Roman"/>
                <w:highlight w:val="none"/>
              </w:rPr>
              <w:t>近年发生的诉讼及仲裁情况的时间要求</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eastAsia="黑体"/>
                <w:color w:val="000000"/>
                <w:sz w:val="28"/>
                <w:highlight w:val="none"/>
                <w:u w:val="single"/>
              </w:rPr>
              <w:t xml:space="preserve">    </w:t>
            </w:r>
            <w:r>
              <w:rPr>
                <w:rFonts w:ascii="Times New Roman" w:hAnsi="Times New Roman"/>
                <w:color w:val="000000"/>
                <w:highlight w:val="none"/>
              </w:rPr>
              <w:t>年</w:t>
            </w:r>
            <w:r>
              <w:rPr>
                <w:rFonts w:ascii="Times New Roman" w:hAnsi="Times New Roman" w:eastAsia="黑体"/>
                <w:color w:val="000000"/>
                <w:sz w:val="28"/>
                <w:highlight w:val="none"/>
                <w:u w:val="single"/>
              </w:rPr>
              <w:t xml:space="preserve">    </w:t>
            </w:r>
            <w:r>
              <w:rPr>
                <w:rFonts w:ascii="Times New Roman" w:hAnsi="Times New Roman"/>
                <w:color w:val="000000"/>
                <w:highlight w:val="none"/>
              </w:rPr>
              <w:t>月</w:t>
            </w:r>
            <w:r>
              <w:rPr>
                <w:rFonts w:ascii="Times New Roman" w:hAnsi="Times New Roman" w:eastAsia="黑体"/>
                <w:color w:val="000000"/>
                <w:sz w:val="28"/>
                <w:highlight w:val="none"/>
                <w:u w:val="single"/>
              </w:rPr>
              <w:t xml:space="preserve">    </w:t>
            </w:r>
            <w:r>
              <w:rPr>
                <w:rFonts w:ascii="Times New Roman" w:hAnsi="Times New Roman"/>
                <w:color w:val="000000"/>
                <w:highlight w:val="none"/>
              </w:rPr>
              <w:t>日</w:t>
            </w:r>
          </w:p>
          <w:p>
            <w:pPr>
              <w:spacing w:line="440" w:lineRule="exact"/>
              <w:ind w:firstLine="525" w:firstLineChars="250"/>
              <w:rPr>
                <w:rFonts w:ascii="Times New Roman" w:hAnsi="Times New Roman"/>
                <w:color w:val="000000"/>
                <w:highlight w:val="none"/>
              </w:rPr>
            </w:pPr>
            <w:r>
              <w:rPr>
                <w:rFonts w:ascii="Times New Roman" w:hAnsi="Times New Roman"/>
                <w:color w:val="000000"/>
                <w:highlight w:val="none"/>
              </w:rPr>
              <w:t>至</w:t>
            </w:r>
            <w:r>
              <w:rPr>
                <w:rFonts w:ascii="Times New Roman" w:hAnsi="Times New Roman" w:eastAsia="黑体"/>
                <w:color w:val="000000"/>
                <w:sz w:val="28"/>
                <w:highlight w:val="none"/>
                <w:u w:val="single"/>
              </w:rPr>
              <w:t xml:space="preserve">    </w:t>
            </w:r>
            <w:r>
              <w:rPr>
                <w:rFonts w:ascii="Times New Roman" w:hAnsi="Times New Roman"/>
                <w:color w:val="000000"/>
                <w:highlight w:val="none"/>
              </w:rPr>
              <w:t>年</w:t>
            </w:r>
            <w:r>
              <w:rPr>
                <w:rFonts w:ascii="Times New Roman" w:hAnsi="Times New Roman" w:eastAsia="黑体"/>
                <w:color w:val="000000"/>
                <w:sz w:val="28"/>
                <w:highlight w:val="none"/>
                <w:u w:val="single"/>
              </w:rPr>
              <w:t xml:space="preserve">    </w:t>
            </w:r>
            <w:r>
              <w:rPr>
                <w:rFonts w:ascii="Times New Roman" w:hAnsi="Times New Roman"/>
                <w:color w:val="000000"/>
                <w:highlight w:val="none"/>
              </w:rPr>
              <w:t>月</w:t>
            </w:r>
            <w:r>
              <w:rPr>
                <w:rFonts w:ascii="Times New Roman" w:hAnsi="Times New Roman" w:eastAsia="黑体"/>
                <w:color w:val="000000"/>
                <w:sz w:val="28"/>
                <w:highlight w:val="none"/>
                <w:u w:val="single"/>
              </w:rPr>
              <w:t xml:space="preserve">    </w:t>
            </w:r>
            <w:r>
              <w:rPr>
                <w:rFonts w:ascii="Times New Roman" w:hAnsi="Times New Roman"/>
                <w:color w:val="000000"/>
                <w:highlight w:val="none"/>
              </w:rPr>
              <w:t>日</w:t>
            </w: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3.6.1</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highlight w:val="none"/>
              </w:rPr>
              <w:t>是否允许递交备选投标方案</w:t>
            </w:r>
          </w:p>
        </w:tc>
        <w:tc>
          <w:tcPr>
            <w:tcW w:w="5670" w:type="dxa"/>
            <w:tcBorders>
              <w:top w:val="single" w:color="auto" w:sz="4" w:space="0"/>
              <w:left w:val="single" w:color="auto" w:sz="4" w:space="0"/>
              <w:bottom w:val="single" w:color="auto" w:sz="4" w:space="0"/>
              <w:right w:val="single" w:color="auto" w:sz="4" w:space="0"/>
            </w:tcBorders>
            <w:vAlign w:val="center"/>
          </w:tcPr>
          <w:p>
            <w:pPr>
              <w:pStyle w:val="12"/>
              <w:topLinePunct/>
              <w:spacing w:line="400" w:lineRule="exact"/>
              <w:rPr>
                <w:rFonts w:ascii="Times New Roman" w:hAnsi="Times New Roman"/>
                <w:sz w:val="21"/>
                <w:szCs w:val="22"/>
                <w:highlight w:val="none"/>
              </w:rPr>
            </w:pPr>
            <w:r>
              <w:rPr>
                <w:rFonts w:ascii="Times New Roman" w:hAnsi="Times New Roman"/>
                <w:color w:val="000000"/>
                <w:sz w:val="32"/>
                <w:highlight w:val="none"/>
              </w:rPr>
              <w:t>□</w:t>
            </w:r>
            <w:r>
              <w:rPr>
                <w:rFonts w:ascii="Times New Roman" w:hAnsi="Times New Roman"/>
                <w:sz w:val="21"/>
                <w:szCs w:val="22"/>
                <w:highlight w:val="none"/>
              </w:rPr>
              <w:t>不允许</w:t>
            </w:r>
          </w:p>
          <w:p>
            <w:pPr>
              <w:spacing w:line="440" w:lineRule="exact"/>
              <w:rPr>
                <w:rFonts w:ascii="Times New Roman" w:hAnsi="Times New Roman"/>
                <w:color w:val="000000"/>
                <w:highlight w:val="none"/>
              </w:rPr>
            </w:pPr>
            <w:r>
              <w:rPr>
                <w:rFonts w:ascii="Times New Roman" w:hAnsi="Times New Roman"/>
                <w:sz w:val="32"/>
                <w:highlight w:val="none"/>
              </w:rPr>
              <w:t>□</w:t>
            </w:r>
            <w:r>
              <w:rPr>
                <w:rFonts w:ascii="Times New Roman" w:hAnsi="Times New Roman"/>
                <w:highlight w:val="none"/>
              </w:rPr>
              <w:t>允许</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heme="minorEastAsia" w:hAnsiTheme="minorEastAsia" w:eastAsiaTheme="minorEastAsia"/>
                <w:color w:val="000000"/>
                <w:szCs w:val="21"/>
                <w:highlight w:val="none"/>
              </w:rPr>
            </w:pPr>
            <w:r>
              <w:rPr>
                <w:rFonts w:cs="仿宋_GB2312" w:asciiTheme="minorEastAsia" w:hAnsiTheme="minorEastAsia" w:eastAsiaTheme="minorEastAsia"/>
                <w:sz w:val="21"/>
                <w:szCs w:val="21"/>
                <w:highlight w:val="none"/>
              </w:rPr>
              <w:t>3.7.4</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heme="minorEastAsia" w:hAnsiTheme="minorEastAsia" w:eastAsiaTheme="minorEastAsia"/>
                <w:color w:val="000000"/>
                <w:szCs w:val="21"/>
                <w:highlight w:val="none"/>
              </w:rPr>
            </w:pPr>
            <w:r>
              <w:rPr>
                <w:rFonts w:hint="eastAsia" w:cs="仿宋_GB2312" w:asciiTheme="minorEastAsia" w:hAnsiTheme="minorEastAsia" w:eastAsiaTheme="minorEastAsia"/>
                <w:sz w:val="21"/>
                <w:szCs w:val="21"/>
                <w:highlight w:val="none"/>
              </w:rPr>
              <w:t>非加密投标文件递交</w:t>
            </w:r>
          </w:p>
        </w:tc>
        <w:tc>
          <w:tcPr>
            <w:tcW w:w="567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cs="仿宋_GB2312" w:asciiTheme="minorEastAsia" w:hAnsiTheme="minorEastAsia" w:eastAsiaTheme="minorEastAsia"/>
                <w:sz w:val="21"/>
                <w:szCs w:val="21"/>
                <w:highlight w:val="none"/>
              </w:rPr>
            </w:pPr>
            <w:r>
              <w:rPr>
                <w:rFonts w:hint="eastAsia" w:cs="仿宋_GB2312" w:asciiTheme="minorEastAsia" w:hAnsiTheme="minorEastAsia" w:eastAsiaTheme="minorEastAsia"/>
                <w:sz w:val="21"/>
                <w:szCs w:val="21"/>
                <w:highlight w:val="none"/>
              </w:rPr>
              <w:t>□不接受非加密投标文件。</w:t>
            </w:r>
          </w:p>
          <w:p>
            <w:pPr>
              <w:snapToGrid w:val="0"/>
              <w:spacing w:line="360" w:lineRule="auto"/>
              <w:rPr>
                <w:rFonts w:cs="仿宋_GB2312" w:asciiTheme="minorEastAsia" w:hAnsiTheme="minorEastAsia" w:eastAsiaTheme="minorEastAsia"/>
                <w:sz w:val="21"/>
                <w:szCs w:val="21"/>
                <w:highlight w:val="none"/>
              </w:rPr>
            </w:pPr>
            <w:r>
              <w:rPr>
                <w:rFonts w:hint="eastAsia" w:cs="仿宋_GB2312" w:asciiTheme="minorEastAsia" w:hAnsiTheme="minorEastAsia" w:eastAsiaTheme="minorEastAsia"/>
                <w:sz w:val="21"/>
                <w:szCs w:val="21"/>
                <w:highlight w:val="none"/>
              </w:rPr>
              <w:t>□接受非加密投标文件：由投标人自行确定是否递交。</w:t>
            </w:r>
          </w:p>
          <w:p>
            <w:pPr>
              <w:snapToGrid w:val="0"/>
              <w:spacing w:line="360" w:lineRule="auto"/>
              <w:rPr>
                <w:rFonts w:cs="仿宋_GB2312" w:asciiTheme="minorEastAsia" w:hAnsiTheme="minorEastAsia" w:eastAsiaTheme="minorEastAsia"/>
                <w:sz w:val="21"/>
                <w:szCs w:val="21"/>
                <w:highlight w:val="none"/>
              </w:rPr>
            </w:pPr>
            <w:r>
              <w:rPr>
                <w:rFonts w:hint="eastAsia" w:cs="仿宋_GB2312" w:asciiTheme="minorEastAsia" w:hAnsiTheme="minorEastAsia" w:eastAsiaTheme="minorEastAsia"/>
                <w:sz w:val="21"/>
                <w:szCs w:val="21"/>
                <w:highlight w:val="none"/>
              </w:rPr>
              <w:t>如递交，应在投标截止时间前在开标地点递交，并提供以下证明材料，否则招标人不予接收。</w:t>
            </w:r>
          </w:p>
          <w:p>
            <w:pPr>
              <w:snapToGrid w:val="0"/>
              <w:spacing w:line="360" w:lineRule="auto"/>
              <w:rPr>
                <w:rFonts w:cs="仿宋_GB2312" w:asciiTheme="minorEastAsia" w:hAnsiTheme="minorEastAsia" w:eastAsiaTheme="minorEastAsia"/>
                <w:sz w:val="21"/>
                <w:szCs w:val="21"/>
                <w:highlight w:val="none"/>
              </w:rPr>
            </w:pPr>
            <w:r>
              <w:rPr>
                <w:rFonts w:hint="eastAsia" w:cs="仿宋_GB2312" w:asciiTheme="minorEastAsia" w:hAnsiTheme="minorEastAsia" w:eastAsiaTheme="minorEastAsia"/>
                <w:sz w:val="21"/>
                <w:szCs w:val="21"/>
                <w:highlight w:val="none"/>
              </w:rPr>
              <w:t>（</w:t>
            </w:r>
            <w:r>
              <w:rPr>
                <w:rFonts w:cs="仿宋_GB2312" w:asciiTheme="minorEastAsia" w:hAnsiTheme="minorEastAsia" w:eastAsiaTheme="minorEastAsia"/>
                <w:sz w:val="21"/>
                <w:szCs w:val="21"/>
                <w:highlight w:val="none"/>
              </w:rPr>
              <w:t>1）法定代表人亲自递交的，应提供法定代表人身份证明和法定代表人的有效身份证件；</w:t>
            </w:r>
          </w:p>
          <w:p>
            <w:pPr>
              <w:spacing w:line="440" w:lineRule="exact"/>
              <w:rPr>
                <w:rFonts w:asciiTheme="minorEastAsia" w:hAnsiTheme="minorEastAsia" w:eastAsiaTheme="minorEastAsia"/>
                <w:color w:val="000000"/>
                <w:szCs w:val="21"/>
                <w:highlight w:val="none"/>
              </w:rPr>
            </w:pPr>
            <w:r>
              <w:rPr>
                <w:rFonts w:hint="eastAsia" w:cs="仿宋_GB2312" w:asciiTheme="minorEastAsia" w:hAnsiTheme="minorEastAsia" w:eastAsiaTheme="minorEastAsia"/>
                <w:sz w:val="21"/>
                <w:szCs w:val="21"/>
                <w:highlight w:val="none"/>
              </w:rPr>
              <w:t>（</w:t>
            </w:r>
            <w:r>
              <w:rPr>
                <w:rFonts w:cs="仿宋_GB2312" w:asciiTheme="minorEastAsia" w:hAnsiTheme="minorEastAsia" w:eastAsiaTheme="minorEastAsia"/>
                <w:sz w:val="21"/>
                <w:szCs w:val="21"/>
                <w:highlight w:val="none"/>
              </w:rPr>
              <w:t>2）委托代理人递交的，应提供授权委托书和委托代理人的有效身份证件。</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heme="minorEastAsia" w:hAnsiTheme="minorEastAsia" w:eastAsiaTheme="minorEastAsia"/>
                <w:color w:val="000000"/>
                <w:szCs w:val="21"/>
                <w:highlight w:val="none"/>
              </w:rPr>
            </w:pPr>
            <w:r>
              <w:rPr>
                <w:rFonts w:cs="仿宋_GB2312" w:asciiTheme="minorEastAsia" w:hAnsiTheme="minorEastAsia" w:eastAsiaTheme="minorEastAsia"/>
                <w:sz w:val="21"/>
                <w:szCs w:val="21"/>
                <w:highlight w:val="none"/>
              </w:rPr>
              <w:t>3.7.6</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heme="minorEastAsia" w:hAnsiTheme="minorEastAsia" w:eastAsiaTheme="minorEastAsia"/>
                <w:color w:val="000000"/>
                <w:szCs w:val="21"/>
                <w:highlight w:val="none"/>
              </w:rPr>
            </w:pPr>
            <w:r>
              <w:rPr>
                <w:rFonts w:hint="eastAsia" w:cs="仿宋_GB2312" w:asciiTheme="minorEastAsia" w:hAnsiTheme="minorEastAsia" w:eastAsiaTheme="minorEastAsia"/>
                <w:szCs w:val="21"/>
                <w:highlight w:val="none"/>
              </w:rPr>
              <w:t>供货</w:t>
            </w:r>
            <w:r>
              <w:rPr>
                <w:rFonts w:hint="eastAsia" w:cs="仿宋_GB2312" w:asciiTheme="minorEastAsia" w:hAnsiTheme="minorEastAsia" w:eastAsiaTheme="minorEastAsia"/>
                <w:sz w:val="21"/>
                <w:szCs w:val="21"/>
                <w:highlight w:val="none"/>
              </w:rPr>
              <w:t>方案是否采用“暗标”评审方式</w:t>
            </w:r>
          </w:p>
        </w:tc>
        <w:tc>
          <w:tcPr>
            <w:tcW w:w="5670" w:type="dxa"/>
            <w:tcBorders>
              <w:top w:val="single" w:color="auto" w:sz="4" w:space="0"/>
              <w:left w:val="single" w:color="auto" w:sz="4" w:space="0"/>
              <w:bottom w:val="single" w:color="auto" w:sz="4" w:space="0"/>
              <w:right w:val="single" w:color="auto" w:sz="4" w:space="0"/>
            </w:tcBorders>
            <w:vAlign w:val="center"/>
          </w:tcPr>
          <w:p>
            <w:pPr>
              <w:rPr>
                <w:rFonts w:cs="仿宋_GB2312" w:asciiTheme="minorEastAsia" w:hAnsiTheme="minorEastAsia" w:eastAsiaTheme="minorEastAsia"/>
                <w:sz w:val="21"/>
                <w:szCs w:val="21"/>
                <w:highlight w:val="none"/>
              </w:rPr>
            </w:pPr>
            <w:r>
              <w:rPr>
                <w:rFonts w:hint="eastAsia" w:cs="仿宋_GB2312" w:asciiTheme="minorEastAsia" w:hAnsiTheme="minorEastAsia" w:eastAsiaTheme="minorEastAsia"/>
                <w:sz w:val="21"/>
                <w:szCs w:val="21"/>
                <w:highlight w:val="none"/>
              </w:rPr>
              <w:t>□不采用</w:t>
            </w:r>
          </w:p>
          <w:p>
            <w:pPr>
              <w:autoSpaceDE w:val="0"/>
              <w:autoSpaceDN w:val="0"/>
              <w:adjustRightInd w:val="0"/>
              <w:jc w:val="left"/>
              <w:textAlignment w:val="center"/>
              <w:rPr>
                <w:rFonts w:cs="仿宋_GB2312" w:asciiTheme="minorEastAsia" w:hAnsiTheme="minorEastAsia" w:eastAsiaTheme="minorEastAsia"/>
                <w:sz w:val="21"/>
                <w:szCs w:val="21"/>
                <w:highlight w:val="none"/>
              </w:rPr>
            </w:pPr>
            <w:r>
              <w:rPr>
                <w:rFonts w:hint="eastAsia" w:cs="仿宋_GB2312" w:asciiTheme="minorEastAsia" w:hAnsiTheme="minorEastAsia" w:eastAsiaTheme="minorEastAsia"/>
                <w:sz w:val="21"/>
                <w:szCs w:val="21"/>
                <w:highlight w:val="none"/>
              </w:rPr>
              <w:t>□采用</w:t>
            </w:r>
          </w:p>
          <w:p>
            <w:pPr>
              <w:autoSpaceDE w:val="0"/>
              <w:autoSpaceDN w:val="0"/>
              <w:adjustRightInd w:val="0"/>
              <w:jc w:val="left"/>
              <w:textAlignment w:val="center"/>
              <w:rPr>
                <w:rFonts w:cs="仿宋_GB2312" w:asciiTheme="minorEastAsia" w:hAnsiTheme="minorEastAsia" w:eastAsiaTheme="minorEastAsia"/>
                <w:sz w:val="21"/>
                <w:szCs w:val="21"/>
                <w:highlight w:val="none"/>
              </w:rPr>
            </w:pPr>
            <w:r>
              <w:rPr>
                <w:rFonts w:hint="eastAsia" w:cs="仿宋_GB2312" w:asciiTheme="minorEastAsia" w:hAnsiTheme="minorEastAsia" w:eastAsiaTheme="minorEastAsia"/>
                <w:szCs w:val="21"/>
                <w:highlight w:val="none"/>
              </w:rPr>
              <w:t>供货方案</w:t>
            </w:r>
            <w:r>
              <w:rPr>
                <w:rFonts w:hint="eastAsia" w:cs="仿宋_GB2312" w:asciiTheme="minorEastAsia" w:hAnsiTheme="minorEastAsia" w:eastAsiaTheme="minorEastAsia"/>
                <w:sz w:val="21"/>
                <w:szCs w:val="21"/>
                <w:highlight w:val="none"/>
              </w:rPr>
              <w:t>（技术暗标）编制和递交要求：</w:t>
            </w:r>
          </w:p>
          <w:p>
            <w:pPr>
              <w:numPr>
                <w:ilvl w:val="0"/>
                <w:numId w:val="0"/>
              </w:numPr>
              <w:autoSpaceDE w:val="0"/>
              <w:autoSpaceDN w:val="0"/>
              <w:adjustRightInd w:val="0"/>
              <w:ind w:left="0" w:firstLine="0"/>
              <w:jc w:val="left"/>
              <w:textAlignment w:val="center"/>
              <w:rPr>
                <w:rFonts w:cs="仿宋_GB2312" w:asciiTheme="minorEastAsia" w:hAnsiTheme="minorEastAsia" w:eastAsiaTheme="minorEastAsia"/>
                <w:kern w:val="2"/>
                <w:sz w:val="21"/>
                <w:szCs w:val="21"/>
                <w:highlight w:val="none"/>
              </w:rPr>
            </w:pPr>
            <w:r>
              <w:rPr>
                <w:rFonts w:hint="eastAsia" w:cs="仿宋_GB2312" w:asciiTheme="minorEastAsia" w:hAnsiTheme="minorEastAsia" w:eastAsiaTheme="minorEastAsia"/>
                <w:szCs w:val="21"/>
                <w:highlight w:val="none"/>
              </w:rPr>
              <w:t>（1）供货方案</w:t>
            </w:r>
            <w:r>
              <w:rPr>
                <w:rFonts w:hint="eastAsia" w:cs="仿宋_GB2312" w:asciiTheme="minorEastAsia" w:hAnsiTheme="minorEastAsia" w:eastAsiaTheme="minorEastAsia"/>
                <w:sz w:val="21"/>
                <w:szCs w:val="21"/>
                <w:highlight w:val="none"/>
              </w:rPr>
              <w:t>（技术暗标）不得含有任何投标人直接或间接的信息，不得出现任何能引起判断出投标人的内容；</w:t>
            </w:r>
          </w:p>
          <w:p>
            <w:pPr>
              <w:spacing w:line="440" w:lineRule="exact"/>
              <w:rPr>
                <w:rFonts w:asciiTheme="minorEastAsia" w:hAnsiTheme="minorEastAsia" w:eastAsiaTheme="minorEastAsia"/>
                <w:color w:val="000000"/>
                <w:szCs w:val="21"/>
                <w:highlight w:val="none"/>
              </w:rPr>
            </w:pPr>
            <w:r>
              <w:rPr>
                <w:rFonts w:cs="仿宋_GB2312" w:asciiTheme="minorEastAsia" w:hAnsiTheme="minorEastAsia" w:eastAsiaTheme="minorEastAsia"/>
                <w:sz w:val="21"/>
                <w:szCs w:val="21"/>
                <w:highlight w:val="none"/>
                <w:u w:val="single"/>
              </w:rPr>
              <w:t xml:space="preserve">                                               </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heme="minorEastAsia" w:hAnsiTheme="minorEastAsia" w:eastAsiaTheme="minorEastAsia"/>
                <w:color w:val="000000"/>
                <w:szCs w:val="21"/>
                <w:highlight w:val="none"/>
              </w:rPr>
            </w:pPr>
            <w:r>
              <w:rPr>
                <w:rFonts w:cs="仿宋_GB2312" w:asciiTheme="minorEastAsia" w:hAnsiTheme="minorEastAsia" w:eastAsiaTheme="minorEastAsia"/>
                <w:sz w:val="21"/>
                <w:szCs w:val="21"/>
                <w:highlight w:val="none"/>
              </w:rPr>
              <w:t>4.1.2</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heme="minorEastAsia" w:hAnsiTheme="minorEastAsia" w:eastAsiaTheme="minorEastAsia"/>
                <w:color w:val="000000"/>
                <w:szCs w:val="21"/>
                <w:highlight w:val="none"/>
              </w:rPr>
            </w:pPr>
            <w:r>
              <w:rPr>
                <w:rFonts w:hint="eastAsia" w:cs="仿宋_GB2312" w:asciiTheme="minorEastAsia" w:hAnsiTheme="minorEastAsia" w:eastAsiaTheme="minorEastAsia"/>
                <w:sz w:val="21"/>
                <w:szCs w:val="21"/>
                <w:highlight w:val="none"/>
              </w:rPr>
              <w:t>非加密投标文件电子介质</w:t>
            </w:r>
            <w:r>
              <w:rPr>
                <w:rFonts w:cs="仿宋_GB2312" w:asciiTheme="minorEastAsia" w:hAnsiTheme="minorEastAsia" w:eastAsiaTheme="minorEastAsia"/>
                <w:sz w:val="21"/>
                <w:szCs w:val="21"/>
                <w:highlight w:val="none"/>
              </w:rPr>
              <w:t>(光盘、U盘等，</w:t>
            </w:r>
            <w:r>
              <w:rPr>
                <w:rFonts w:hint="eastAsia" w:cs="仿宋_GB2312" w:asciiTheme="minorEastAsia" w:hAnsiTheme="minorEastAsia" w:eastAsiaTheme="minorEastAsia"/>
                <w:b/>
                <w:bCs/>
                <w:i/>
                <w:snapToGrid w:val="0"/>
                <w:kern w:val="0"/>
                <w:sz w:val="21"/>
                <w:szCs w:val="21"/>
                <w:highlight w:val="none"/>
                <w:u w:val="single"/>
              </w:rPr>
              <w:t>说明：具体可根据各地公共资源交易中心具体情况作出约定</w:t>
            </w:r>
            <w:r>
              <w:rPr>
                <w:rFonts w:cs="仿宋_GB2312" w:asciiTheme="minorEastAsia" w:hAnsiTheme="minorEastAsia" w:eastAsiaTheme="minorEastAsia"/>
                <w:b/>
                <w:bCs/>
                <w:i/>
                <w:snapToGrid w:val="0"/>
                <w:kern w:val="0"/>
                <w:sz w:val="21"/>
                <w:szCs w:val="21"/>
                <w:highlight w:val="none"/>
                <w:u w:val="single"/>
              </w:rPr>
              <w:t xml:space="preserve">  </w:t>
            </w:r>
            <w:r>
              <w:rPr>
                <w:rFonts w:cs="仿宋_GB2312" w:asciiTheme="minorEastAsia" w:hAnsiTheme="minorEastAsia" w:eastAsiaTheme="minorEastAsia"/>
                <w:sz w:val="21"/>
                <w:szCs w:val="21"/>
                <w:highlight w:val="none"/>
              </w:rPr>
              <w:t>)及投标保函密封和标记要求</w:t>
            </w:r>
          </w:p>
        </w:tc>
        <w:tc>
          <w:tcPr>
            <w:tcW w:w="567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cs="仿宋_GB2312" w:asciiTheme="minorEastAsia" w:hAnsiTheme="minorEastAsia" w:eastAsiaTheme="minorEastAsia"/>
                <w:b/>
                <w:bCs/>
                <w:snapToGrid w:val="0"/>
                <w:kern w:val="0"/>
                <w:sz w:val="21"/>
                <w:szCs w:val="21"/>
                <w:highlight w:val="none"/>
              </w:rPr>
            </w:pPr>
            <w:r>
              <w:rPr>
                <w:rFonts w:hint="eastAsia" w:cs="仿宋_GB2312" w:asciiTheme="minorEastAsia" w:hAnsiTheme="minorEastAsia" w:eastAsiaTheme="minorEastAsia"/>
                <w:b/>
                <w:bCs/>
                <w:snapToGrid w:val="0"/>
                <w:kern w:val="0"/>
                <w:sz w:val="21"/>
                <w:szCs w:val="21"/>
                <w:highlight w:val="none"/>
              </w:rPr>
              <w:t>非加密投标文件介质封套（如接收非加密投标文件介质）：</w:t>
            </w:r>
          </w:p>
          <w:p>
            <w:pPr>
              <w:snapToGrid w:val="0"/>
              <w:spacing w:line="360" w:lineRule="auto"/>
              <w:rPr>
                <w:rFonts w:cs="仿宋_GB2312" w:asciiTheme="minorEastAsia" w:hAnsiTheme="minorEastAsia" w:eastAsiaTheme="minorEastAsia"/>
                <w:bCs/>
                <w:snapToGrid w:val="0"/>
                <w:kern w:val="0"/>
                <w:sz w:val="21"/>
                <w:szCs w:val="21"/>
                <w:highlight w:val="none"/>
              </w:rPr>
            </w:pPr>
            <w:r>
              <w:rPr>
                <w:rFonts w:hint="eastAsia" w:cs="仿宋_GB2312" w:asciiTheme="minorEastAsia" w:hAnsiTheme="minorEastAsia" w:eastAsiaTheme="minorEastAsia"/>
                <w:bCs/>
                <w:snapToGrid w:val="0"/>
                <w:kern w:val="0"/>
                <w:sz w:val="21"/>
                <w:szCs w:val="21"/>
                <w:highlight w:val="none"/>
              </w:rPr>
              <w:t>投标人的地址：</w:t>
            </w:r>
          </w:p>
          <w:p>
            <w:pPr>
              <w:snapToGrid w:val="0"/>
              <w:spacing w:line="360" w:lineRule="auto"/>
              <w:rPr>
                <w:rFonts w:cs="仿宋_GB2312" w:asciiTheme="minorEastAsia" w:hAnsiTheme="minorEastAsia" w:eastAsiaTheme="minorEastAsia"/>
                <w:bCs/>
                <w:snapToGrid w:val="0"/>
                <w:kern w:val="0"/>
                <w:sz w:val="21"/>
                <w:szCs w:val="21"/>
                <w:highlight w:val="none"/>
              </w:rPr>
            </w:pPr>
            <w:r>
              <w:rPr>
                <w:rFonts w:hint="eastAsia" w:cs="仿宋_GB2312" w:asciiTheme="minorEastAsia" w:hAnsiTheme="minorEastAsia" w:eastAsiaTheme="minorEastAsia"/>
                <w:bCs/>
                <w:snapToGrid w:val="0"/>
                <w:kern w:val="0"/>
                <w:sz w:val="21"/>
                <w:szCs w:val="21"/>
                <w:highlight w:val="none"/>
              </w:rPr>
              <w:t>投标人名称：</w:t>
            </w:r>
          </w:p>
          <w:p>
            <w:pPr>
              <w:snapToGrid w:val="0"/>
              <w:spacing w:line="360" w:lineRule="auto"/>
              <w:rPr>
                <w:rFonts w:cs="仿宋_GB2312" w:asciiTheme="minorEastAsia" w:hAnsiTheme="minorEastAsia" w:eastAsiaTheme="minorEastAsia"/>
                <w:bCs/>
                <w:snapToGrid w:val="0"/>
                <w:kern w:val="0"/>
                <w:sz w:val="21"/>
                <w:szCs w:val="21"/>
                <w:highlight w:val="none"/>
              </w:rPr>
            </w:pPr>
            <w:r>
              <w:rPr>
                <w:rFonts w:cs="仿宋_GB2312" w:asciiTheme="minorEastAsia" w:hAnsiTheme="minorEastAsia" w:eastAsiaTheme="minorEastAsia"/>
                <w:bCs/>
                <w:snapToGrid w:val="0"/>
                <w:kern w:val="0"/>
                <w:sz w:val="21"/>
                <w:szCs w:val="21"/>
                <w:highlight w:val="none"/>
                <w:u w:val="single"/>
              </w:rPr>
              <w:t xml:space="preserve">           </w:t>
            </w:r>
            <w:r>
              <w:rPr>
                <w:rFonts w:cs="仿宋_GB2312" w:asciiTheme="minorEastAsia" w:hAnsiTheme="minorEastAsia" w:eastAsiaTheme="minorEastAsia"/>
                <w:bCs/>
                <w:snapToGrid w:val="0"/>
                <w:kern w:val="0"/>
                <w:sz w:val="21"/>
                <w:szCs w:val="21"/>
                <w:highlight w:val="none"/>
              </w:rPr>
              <w:t>(项目名称)</w:t>
            </w:r>
            <w:r>
              <w:rPr>
                <w:rFonts w:cs="仿宋_GB2312" w:asciiTheme="minorEastAsia" w:hAnsiTheme="minorEastAsia" w:eastAsiaTheme="minorEastAsia"/>
                <w:kern w:val="0"/>
                <w:sz w:val="21"/>
                <w:szCs w:val="21"/>
                <w:highlight w:val="none"/>
                <w:u w:val="single"/>
              </w:rPr>
              <w:t xml:space="preserve">         </w:t>
            </w:r>
            <w:r>
              <w:rPr>
                <w:rFonts w:cs="仿宋_GB2312" w:asciiTheme="minorEastAsia" w:hAnsiTheme="minorEastAsia" w:eastAsiaTheme="minorEastAsia"/>
                <w:kern w:val="0"/>
                <w:sz w:val="21"/>
                <w:szCs w:val="21"/>
                <w:highlight w:val="none"/>
              </w:rPr>
              <w:t xml:space="preserve"> （标段名称）</w:t>
            </w:r>
            <w:r>
              <w:rPr>
                <w:rFonts w:hint="eastAsia" w:cs="仿宋_GB2312" w:asciiTheme="minorEastAsia" w:hAnsiTheme="minorEastAsia" w:eastAsiaTheme="minorEastAsia"/>
                <w:bCs/>
                <w:snapToGrid w:val="0"/>
                <w:kern w:val="0"/>
                <w:sz w:val="21"/>
                <w:szCs w:val="21"/>
                <w:highlight w:val="none"/>
              </w:rPr>
              <w:t>投标文件</w:t>
            </w:r>
          </w:p>
          <w:p>
            <w:pPr>
              <w:snapToGrid w:val="0"/>
              <w:spacing w:line="360" w:lineRule="auto"/>
              <w:rPr>
                <w:rFonts w:cs="仿宋_GB2312" w:asciiTheme="minorEastAsia" w:hAnsiTheme="minorEastAsia" w:eastAsiaTheme="minorEastAsia"/>
                <w:bCs/>
                <w:snapToGrid w:val="0"/>
                <w:kern w:val="0"/>
                <w:sz w:val="21"/>
                <w:szCs w:val="21"/>
                <w:highlight w:val="none"/>
              </w:rPr>
            </w:pPr>
            <w:r>
              <w:rPr>
                <w:rFonts w:hint="eastAsia" w:cs="仿宋_GB2312" w:asciiTheme="minorEastAsia" w:hAnsiTheme="minorEastAsia" w:eastAsiaTheme="minorEastAsia"/>
                <w:bCs/>
                <w:snapToGrid w:val="0"/>
                <w:kern w:val="0"/>
                <w:sz w:val="21"/>
                <w:szCs w:val="21"/>
                <w:highlight w:val="none"/>
              </w:rPr>
              <w:t>（非加密投标文件介质）</w:t>
            </w:r>
          </w:p>
          <w:p>
            <w:pPr>
              <w:snapToGrid w:val="0"/>
              <w:spacing w:line="360" w:lineRule="auto"/>
              <w:rPr>
                <w:rFonts w:cs="仿宋_GB2312" w:asciiTheme="minorEastAsia" w:hAnsiTheme="minorEastAsia" w:eastAsiaTheme="minorEastAsia"/>
                <w:bCs/>
                <w:snapToGrid w:val="0"/>
                <w:kern w:val="0"/>
                <w:sz w:val="21"/>
                <w:szCs w:val="21"/>
                <w:highlight w:val="none"/>
              </w:rPr>
            </w:pPr>
            <w:r>
              <w:rPr>
                <w:rFonts w:hint="eastAsia" w:cs="仿宋_GB2312" w:asciiTheme="minorEastAsia" w:hAnsiTheme="minorEastAsia" w:eastAsiaTheme="minorEastAsia"/>
                <w:bCs/>
                <w:snapToGrid w:val="0"/>
                <w:kern w:val="0"/>
                <w:sz w:val="21"/>
                <w:szCs w:val="21"/>
                <w:highlight w:val="none"/>
              </w:rPr>
              <w:t>在</w:t>
            </w:r>
            <w:r>
              <w:rPr>
                <w:rFonts w:cs="仿宋_GB2312" w:asciiTheme="minorEastAsia" w:hAnsiTheme="minorEastAsia" w:eastAsiaTheme="minorEastAsia"/>
                <w:bCs/>
                <w:snapToGrid w:val="0"/>
                <w:kern w:val="0"/>
                <w:sz w:val="21"/>
                <w:szCs w:val="21"/>
                <w:highlight w:val="none"/>
                <w:u w:val="single"/>
              </w:rPr>
              <w:t xml:space="preserve">    </w:t>
            </w:r>
            <w:r>
              <w:rPr>
                <w:rFonts w:hint="eastAsia" w:cs="仿宋_GB2312" w:asciiTheme="minorEastAsia" w:hAnsiTheme="minorEastAsia" w:eastAsiaTheme="minorEastAsia"/>
                <w:bCs/>
                <w:snapToGrid w:val="0"/>
                <w:kern w:val="0"/>
                <w:sz w:val="21"/>
                <w:szCs w:val="21"/>
                <w:highlight w:val="none"/>
              </w:rPr>
              <w:t>年</w:t>
            </w:r>
            <w:r>
              <w:rPr>
                <w:rFonts w:cs="仿宋_GB2312" w:asciiTheme="minorEastAsia" w:hAnsiTheme="minorEastAsia" w:eastAsiaTheme="minorEastAsia"/>
                <w:bCs/>
                <w:snapToGrid w:val="0"/>
                <w:kern w:val="0"/>
                <w:sz w:val="21"/>
                <w:szCs w:val="21"/>
                <w:highlight w:val="none"/>
                <w:u w:val="single"/>
              </w:rPr>
              <w:t xml:space="preserve">   </w:t>
            </w:r>
            <w:r>
              <w:rPr>
                <w:rFonts w:hint="eastAsia" w:cs="仿宋_GB2312" w:asciiTheme="minorEastAsia" w:hAnsiTheme="minorEastAsia" w:eastAsiaTheme="minorEastAsia"/>
                <w:bCs/>
                <w:snapToGrid w:val="0"/>
                <w:kern w:val="0"/>
                <w:sz w:val="21"/>
                <w:szCs w:val="21"/>
                <w:highlight w:val="none"/>
              </w:rPr>
              <w:t>月</w:t>
            </w:r>
            <w:r>
              <w:rPr>
                <w:rFonts w:cs="仿宋_GB2312" w:asciiTheme="minorEastAsia" w:hAnsiTheme="minorEastAsia" w:eastAsiaTheme="minorEastAsia"/>
                <w:bCs/>
                <w:snapToGrid w:val="0"/>
                <w:kern w:val="0"/>
                <w:sz w:val="21"/>
                <w:szCs w:val="21"/>
                <w:highlight w:val="none"/>
                <w:u w:val="single"/>
              </w:rPr>
              <w:t xml:space="preserve">   </w:t>
            </w:r>
            <w:r>
              <w:rPr>
                <w:rFonts w:hint="eastAsia" w:cs="仿宋_GB2312" w:asciiTheme="minorEastAsia" w:hAnsiTheme="minorEastAsia" w:eastAsiaTheme="minorEastAsia"/>
                <w:bCs/>
                <w:snapToGrid w:val="0"/>
                <w:kern w:val="0"/>
                <w:sz w:val="21"/>
                <w:szCs w:val="21"/>
                <w:highlight w:val="none"/>
              </w:rPr>
              <w:t>日</w:t>
            </w:r>
            <w:r>
              <w:rPr>
                <w:rFonts w:cs="仿宋_GB2312" w:asciiTheme="minorEastAsia" w:hAnsiTheme="minorEastAsia" w:eastAsiaTheme="minorEastAsia"/>
                <w:bCs/>
                <w:snapToGrid w:val="0"/>
                <w:kern w:val="0"/>
                <w:sz w:val="21"/>
                <w:szCs w:val="21"/>
                <w:highlight w:val="none"/>
                <w:u w:val="single"/>
              </w:rPr>
              <w:t xml:space="preserve">    </w:t>
            </w:r>
            <w:r>
              <w:rPr>
                <w:rFonts w:hint="eastAsia" w:cs="仿宋_GB2312" w:asciiTheme="minorEastAsia" w:hAnsiTheme="minorEastAsia" w:eastAsiaTheme="minorEastAsia"/>
                <w:bCs/>
                <w:snapToGrid w:val="0"/>
                <w:kern w:val="0"/>
                <w:sz w:val="21"/>
                <w:szCs w:val="21"/>
                <w:highlight w:val="none"/>
              </w:rPr>
              <w:t>时</w:t>
            </w:r>
            <w:r>
              <w:rPr>
                <w:rFonts w:cs="仿宋_GB2312" w:asciiTheme="minorEastAsia" w:hAnsiTheme="minorEastAsia" w:eastAsiaTheme="minorEastAsia"/>
                <w:bCs/>
                <w:snapToGrid w:val="0"/>
                <w:kern w:val="0"/>
                <w:sz w:val="21"/>
                <w:szCs w:val="21"/>
                <w:highlight w:val="none"/>
                <w:u w:val="single"/>
              </w:rPr>
              <w:t xml:space="preserve">   </w:t>
            </w:r>
            <w:r>
              <w:rPr>
                <w:rFonts w:hint="eastAsia" w:cs="仿宋_GB2312" w:asciiTheme="minorEastAsia" w:hAnsiTheme="minorEastAsia" w:eastAsiaTheme="minorEastAsia"/>
                <w:bCs/>
                <w:snapToGrid w:val="0"/>
                <w:kern w:val="0"/>
                <w:sz w:val="21"/>
                <w:szCs w:val="21"/>
                <w:highlight w:val="none"/>
              </w:rPr>
              <w:t>分前不得开启</w:t>
            </w:r>
          </w:p>
          <w:p>
            <w:pPr>
              <w:snapToGrid w:val="0"/>
              <w:spacing w:line="360" w:lineRule="auto"/>
              <w:rPr>
                <w:rFonts w:cs="仿宋_GB2312" w:asciiTheme="minorEastAsia" w:hAnsiTheme="minorEastAsia" w:eastAsiaTheme="minorEastAsia"/>
                <w:b/>
                <w:bCs/>
                <w:snapToGrid w:val="0"/>
                <w:kern w:val="0"/>
                <w:sz w:val="21"/>
                <w:szCs w:val="21"/>
                <w:highlight w:val="none"/>
              </w:rPr>
            </w:pPr>
            <w:r>
              <w:rPr>
                <w:rFonts w:hint="eastAsia" w:cs="仿宋_GB2312" w:asciiTheme="minorEastAsia" w:hAnsiTheme="minorEastAsia" w:eastAsiaTheme="minorEastAsia"/>
                <w:b/>
                <w:bCs/>
                <w:snapToGrid w:val="0"/>
                <w:kern w:val="0"/>
                <w:sz w:val="21"/>
                <w:szCs w:val="21"/>
                <w:highlight w:val="none"/>
              </w:rPr>
              <w:t>投标保函封套（如接收纸质投标保函）：</w:t>
            </w:r>
          </w:p>
          <w:p>
            <w:pPr>
              <w:snapToGrid w:val="0"/>
              <w:spacing w:line="360" w:lineRule="auto"/>
              <w:rPr>
                <w:rFonts w:cs="仿宋_GB2312" w:asciiTheme="minorEastAsia" w:hAnsiTheme="minorEastAsia" w:eastAsiaTheme="minorEastAsia"/>
                <w:bCs/>
                <w:snapToGrid w:val="0"/>
                <w:kern w:val="0"/>
                <w:sz w:val="21"/>
                <w:szCs w:val="21"/>
                <w:highlight w:val="none"/>
              </w:rPr>
            </w:pPr>
            <w:r>
              <w:rPr>
                <w:rFonts w:hint="eastAsia" w:cs="仿宋_GB2312" w:asciiTheme="minorEastAsia" w:hAnsiTheme="minorEastAsia" w:eastAsiaTheme="minorEastAsia"/>
                <w:bCs/>
                <w:snapToGrid w:val="0"/>
                <w:kern w:val="0"/>
                <w:sz w:val="21"/>
                <w:szCs w:val="21"/>
                <w:highlight w:val="none"/>
              </w:rPr>
              <w:t>投标人的地址：</w:t>
            </w:r>
          </w:p>
          <w:p>
            <w:pPr>
              <w:snapToGrid w:val="0"/>
              <w:spacing w:line="360" w:lineRule="auto"/>
              <w:rPr>
                <w:rFonts w:cs="仿宋_GB2312" w:asciiTheme="minorEastAsia" w:hAnsiTheme="minorEastAsia" w:eastAsiaTheme="minorEastAsia"/>
                <w:bCs/>
                <w:snapToGrid w:val="0"/>
                <w:kern w:val="0"/>
                <w:sz w:val="21"/>
                <w:szCs w:val="21"/>
                <w:highlight w:val="none"/>
              </w:rPr>
            </w:pPr>
            <w:r>
              <w:rPr>
                <w:rFonts w:hint="eastAsia" w:cs="仿宋_GB2312" w:asciiTheme="minorEastAsia" w:hAnsiTheme="minorEastAsia" w:eastAsiaTheme="minorEastAsia"/>
                <w:bCs/>
                <w:snapToGrid w:val="0"/>
                <w:kern w:val="0"/>
                <w:sz w:val="21"/>
                <w:szCs w:val="21"/>
                <w:highlight w:val="none"/>
              </w:rPr>
              <w:t>投标人名称：</w:t>
            </w:r>
          </w:p>
          <w:p>
            <w:pPr>
              <w:snapToGrid w:val="0"/>
              <w:spacing w:line="360" w:lineRule="auto"/>
              <w:rPr>
                <w:rFonts w:cs="仿宋_GB2312" w:asciiTheme="minorEastAsia" w:hAnsiTheme="minorEastAsia" w:eastAsiaTheme="minorEastAsia"/>
                <w:bCs/>
                <w:snapToGrid w:val="0"/>
                <w:kern w:val="0"/>
                <w:sz w:val="21"/>
                <w:szCs w:val="21"/>
                <w:highlight w:val="none"/>
              </w:rPr>
            </w:pPr>
            <w:r>
              <w:rPr>
                <w:rFonts w:cs="仿宋_GB2312" w:asciiTheme="minorEastAsia" w:hAnsiTheme="minorEastAsia" w:eastAsiaTheme="minorEastAsia"/>
                <w:bCs/>
                <w:snapToGrid w:val="0"/>
                <w:kern w:val="0"/>
                <w:sz w:val="21"/>
                <w:szCs w:val="21"/>
                <w:highlight w:val="none"/>
                <w:u w:val="single"/>
              </w:rPr>
              <w:t xml:space="preserve">        </w:t>
            </w:r>
            <w:r>
              <w:rPr>
                <w:rFonts w:cs="仿宋_GB2312" w:asciiTheme="minorEastAsia" w:hAnsiTheme="minorEastAsia" w:eastAsiaTheme="minorEastAsia"/>
                <w:bCs/>
                <w:snapToGrid w:val="0"/>
                <w:kern w:val="0"/>
                <w:sz w:val="21"/>
                <w:szCs w:val="21"/>
                <w:highlight w:val="none"/>
              </w:rPr>
              <w:t>(项目名称)</w:t>
            </w:r>
            <w:r>
              <w:rPr>
                <w:rFonts w:cs="仿宋_GB2312" w:asciiTheme="minorEastAsia" w:hAnsiTheme="minorEastAsia" w:eastAsiaTheme="minorEastAsia"/>
                <w:kern w:val="0"/>
                <w:sz w:val="21"/>
                <w:szCs w:val="21"/>
                <w:highlight w:val="none"/>
                <w:u w:val="single"/>
              </w:rPr>
              <w:t xml:space="preserve">         </w:t>
            </w:r>
            <w:r>
              <w:rPr>
                <w:rFonts w:cs="仿宋_GB2312" w:asciiTheme="minorEastAsia" w:hAnsiTheme="minorEastAsia" w:eastAsiaTheme="minorEastAsia"/>
                <w:kern w:val="0"/>
                <w:sz w:val="21"/>
                <w:szCs w:val="21"/>
                <w:highlight w:val="none"/>
              </w:rPr>
              <w:t xml:space="preserve"> （标段名称）</w:t>
            </w:r>
            <w:r>
              <w:rPr>
                <w:rFonts w:hint="eastAsia" w:cs="仿宋_GB2312" w:asciiTheme="minorEastAsia" w:hAnsiTheme="minorEastAsia" w:eastAsiaTheme="minorEastAsia"/>
                <w:bCs/>
                <w:snapToGrid w:val="0"/>
                <w:kern w:val="0"/>
                <w:sz w:val="21"/>
                <w:szCs w:val="21"/>
                <w:highlight w:val="none"/>
              </w:rPr>
              <w:t>投标文件</w:t>
            </w:r>
          </w:p>
          <w:p>
            <w:pPr>
              <w:snapToGrid w:val="0"/>
              <w:spacing w:line="360" w:lineRule="auto"/>
              <w:rPr>
                <w:rFonts w:cs="仿宋_GB2312" w:asciiTheme="minorEastAsia" w:hAnsiTheme="minorEastAsia" w:eastAsiaTheme="minorEastAsia"/>
                <w:bCs/>
                <w:snapToGrid w:val="0"/>
                <w:kern w:val="0"/>
                <w:sz w:val="21"/>
                <w:szCs w:val="21"/>
                <w:highlight w:val="none"/>
              </w:rPr>
            </w:pPr>
            <w:r>
              <w:rPr>
                <w:rFonts w:hint="eastAsia" w:cs="仿宋_GB2312" w:asciiTheme="minorEastAsia" w:hAnsiTheme="minorEastAsia" w:eastAsiaTheme="minorEastAsia"/>
                <w:bCs/>
                <w:snapToGrid w:val="0"/>
                <w:kern w:val="0"/>
                <w:sz w:val="21"/>
                <w:szCs w:val="21"/>
                <w:highlight w:val="none"/>
              </w:rPr>
              <w:t>（投标保函）</w:t>
            </w:r>
          </w:p>
          <w:p>
            <w:pPr>
              <w:pStyle w:val="12"/>
              <w:topLinePunct/>
              <w:spacing w:line="400" w:lineRule="exact"/>
              <w:rPr>
                <w:rFonts w:asciiTheme="minorEastAsia" w:hAnsiTheme="minorEastAsia" w:eastAsiaTheme="minorEastAsia"/>
                <w:color w:val="000000"/>
                <w:sz w:val="21"/>
                <w:szCs w:val="21"/>
                <w:highlight w:val="none"/>
              </w:rPr>
            </w:pPr>
            <w:r>
              <w:rPr>
                <w:rFonts w:hint="eastAsia" w:cs="仿宋_GB2312" w:asciiTheme="minorEastAsia" w:hAnsiTheme="minorEastAsia" w:eastAsiaTheme="minorEastAsia"/>
                <w:bCs/>
                <w:snapToGrid w:val="0"/>
                <w:kern w:val="0"/>
                <w:sz w:val="21"/>
                <w:szCs w:val="21"/>
                <w:highlight w:val="none"/>
              </w:rPr>
              <w:t>在</w:t>
            </w:r>
            <w:r>
              <w:rPr>
                <w:rFonts w:cs="仿宋_GB2312" w:asciiTheme="minorEastAsia" w:hAnsiTheme="minorEastAsia" w:eastAsiaTheme="minorEastAsia"/>
                <w:bCs/>
                <w:snapToGrid w:val="0"/>
                <w:kern w:val="0"/>
                <w:sz w:val="21"/>
                <w:szCs w:val="21"/>
                <w:highlight w:val="none"/>
                <w:u w:val="single"/>
              </w:rPr>
              <w:t xml:space="preserve">    </w:t>
            </w:r>
            <w:r>
              <w:rPr>
                <w:rFonts w:hint="eastAsia" w:cs="仿宋_GB2312" w:asciiTheme="minorEastAsia" w:hAnsiTheme="minorEastAsia" w:eastAsiaTheme="minorEastAsia"/>
                <w:bCs/>
                <w:snapToGrid w:val="0"/>
                <w:kern w:val="0"/>
                <w:sz w:val="21"/>
                <w:szCs w:val="21"/>
                <w:highlight w:val="none"/>
              </w:rPr>
              <w:t>年</w:t>
            </w:r>
            <w:r>
              <w:rPr>
                <w:rFonts w:cs="仿宋_GB2312" w:asciiTheme="minorEastAsia" w:hAnsiTheme="minorEastAsia" w:eastAsiaTheme="minorEastAsia"/>
                <w:bCs/>
                <w:snapToGrid w:val="0"/>
                <w:kern w:val="0"/>
                <w:sz w:val="21"/>
                <w:szCs w:val="21"/>
                <w:highlight w:val="none"/>
                <w:u w:val="single"/>
              </w:rPr>
              <w:t xml:space="preserve">   </w:t>
            </w:r>
            <w:r>
              <w:rPr>
                <w:rFonts w:hint="eastAsia" w:cs="仿宋_GB2312" w:asciiTheme="minorEastAsia" w:hAnsiTheme="minorEastAsia" w:eastAsiaTheme="minorEastAsia"/>
                <w:bCs/>
                <w:snapToGrid w:val="0"/>
                <w:kern w:val="0"/>
                <w:sz w:val="21"/>
                <w:szCs w:val="21"/>
                <w:highlight w:val="none"/>
              </w:rPr>
              <w:t>月</w:t>
            </w:r>
            <w:r>
              <w:rPr>
                <w:rFonts w:cs="仿宋_GB2312" w:asciiTheme="minorEastAsia" w:hAnsiTheme="minorEastAsia" w:eastAsiaTheme="minorEastAsia"/>
                <w:bCs/>
                <w:snapToGrid w:val="0"/>
                <w:kern w:val="0"/>
                <w:sz w:val="21"/>
                <w:szCs w:val="21"/>
                <w:highlight w:val="none"/>
                <w:u w:val="single"/>
              </w:rPr>
              <w:t xml:space="preserve">   </w:t>
            </w:r>
            <w:r>
              <w:rPr>
                <w:rFonts w:hint="eastAsia" w:cs="仿宋_GB2312" w:asciiTheme="minorEastAsia" w:hAnsiTheme="minorEastAsia" w:eastAsiaTheme="minorEastAsia"/>
                <w:bCs/>
                <w:snapToGrid w:val="0"/>
                <w:kern w:val="0"/>
                <w:sz w:val="21"/>
                <w:szCs w:val="21"/>
                <w:highlight w:val="none"/>
              </w:rPr>
              <w:t>日</w:t>
            </w:r>
            <w:r>
              <w:rPr>
                <w:rFonts w:cs="仿宋_GB2312" w:asciiTheme="minorEastAsia" w:hAnsiTheme="minorEastAsia" w:eastAsiaTheme="minorEastAsia"/>
                <w:bCs/>
                <w:snapToGrid w:val="0"/>
                <w:kern w:val="0"/>
                <w:sz w:val="21"/>
                <w:szCs w:val="21"/>
                <w:highlight w:val="none"/>
                <w:u w:val="single"/>
              </w:rPr>
              <w:t xml:space="preserve">    </w:t>
            </w:r>
            <w:r>
              <w:rPr>
                <w:rFonts w:hint="eastAsia" w:cs="仿宋_GB2312" w:asciiTheme="minorEastAsia" w:hAnsiTheme="minorEastAsia" w:eastAsiaTheme="minorEastAsia"/>
                <w:bCs/>
                <w:snapToGrid w:val="0"/>
                <w:kern w:val="0"/>
                <w:sz w:val="21"/>
                <w:szCs w:val="21"/>
                <w:highlight w:val="none"/>
              </w:rPr>
              <w:t>时</w:t>
            </w:r>
            <w:r>
              <w:rPr>
                <w:rFonts w:cs="仿宋_GB2312" w:asciiTheme="minorEastAsia" w:hAnsiTheme="minorEastAsia" w:eastAsiaTheme="minorEastAsia"/>
                <w:bCs/>
                <w:snapToGrid w:val="0"/>
                <w:kern w:val="0"/>
                <w:sz w:val="21"/>
                <w:szCs w:val="21"/>
                <w:highlight w:val="none"/>
                <w:u w:val="single"/>
              </w:rPr>
              <w:t xml:space="preserve">   </w:t>
            </w:r>
            <w:r>
              <w:rPr>
                <w:rFonts w:hint="eastAsia" w:cs="仿宋_GB2312" w:asciiTheme="minorEastAsia" w:hAnsiTheme="minorEastAsia" w:eastAsiaTheme="minorEastAsia"/>
                <w:bCs/>
                <w:snapToGrid w:val="0"/>
                <w:kern w:val="0"/>
                <w:sz w:val="21"/>
                <w:szCs w:val="21"/>
                <w:highlight w:val="none"/>
              </w:rPr>
              <w:t>分前不得开启</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heme="minorEastAsia" w:hAnsiTheme="minorEastAsia" w:eastAsiaTheme="minorEastAsia"/>
                <w:color w:val="000000"/>
                <w:szCs w:val="21"/>
                <w:highlight w:val="none"/>
              </w:rPr>
            </w:pPr>
            <w:r>
              <w:rPr>
                <w:rFonts w:cs="仿宋_GB2312" w:asciiTheme="minorEastAsia" w:hAnsiTheme="minorEastAsia" w:eastAsiaTheme="minorEastAsia"/>
                <w:sz w:val="21"/>
                <w:szCs w:val="21"/>
                <w:highlight w:val="none"/>
              </w:rPr>
              <w:t>4.2.1</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heme="minorEastAsia" w:hAnsiTheme="minorEastAsia" w:eastAsiaTheme="minorEastAsia"/>
                <w:color w:val="000000"/>
                <w:szCs w:val="21"/>
                <w:highlight w:val="none"/>
                <w:shd w:val="clear" w:color="FFFFFF" w:fill="D9D9D9"/>
              </w:rPr>
            </w:pPr>
            <w:r>
              <w:rPr>
                <w:rFonts w:hint="eastAsia" w:cs="仿宋_GB2312" w:asciiTheme="minorEastAsia" w:hAnsiTheme="minorEastAsia" w:eastAsiaTheme="minorEastAsia"/>
                <w:kern w:val="0"/>
                <w:sz w:val="21"/>
                <w:szCs w:val="21"/>
                <w:highlight w:val="none"/>
              </w:rPr>
              <w:t>投标截止时间</w:t>
            </w:r>
          </w:p>
        </w:tc>
        <w:tc>
          <w:tcPr>
            <w:tcW w:w="5670" w:type="dxa"/>
            <w:tcBorders>
              <w:top w:val="single" w:color="auto" w:sz="4" w:space="0"/>
              <w:left w:val="single" w:color="auto" w:sz="4" w:space="0"/>
              <w:bottom w:val="single" w:color="auto" w:sz="4" w:space="0"/>
              <w:right w:val="single" w:color="auto" w:sz="4" w:space="0"/>
            </w:tcBorders>
            <w:vAlign w:val="center"/>
          </w:tcPr>
          <w:p>
            <w:pPr>
              <w:spacing w:line="360" w:lineRule="auto"/>
              <w:jc w:val="left"/>
              <w:textAlignment w:val="center"/>
              <w:rPr>
                <w:rFonts w:cs="仿宋_GB2312" w:asciiTheme="minorEastAsia" w:hAnsiTheme="minorEastAsia" w:eastAsiaTheme="minorEastAsia"/>
                <w:sz w:val="21"/>
                <w:szCs w:val="21"/>
                <w:highlight w:val="none"/>
              </w:rPr>
            </w:pPr>
            <w:r>
              <w:rPr>
                <w:rFonts w:hint="eastAsia" w:cs="仿宋_GB2312" w:asciiTheme="minorEastAsia" w:hAnsiTheme="minorEastAsia" w:eastAsiaTheme="minorEastAsia"/>
                <w:sz w:val="21"/>
                <w:szCs w:val="21"/>
                <w:highlight w:val="none"/>
              </w:rPr>
              <w:t>投标截止时间为：</w:t>
            </w:r>
            <w:r>
              <w:rPr>
                <w:rFonts w:cs="仿宋_GB2312" w:asciiTheme="minorEastAsia" w:hAnsiTheme="minorEastAsia" w:eastAsiaTheme="minorEastAsia"/>
                <w:kern w:val="0"/>
                <w:sz w:val="21"/>
                <w:szCs w:val="21"/>
                <w:highlight w:val="none"/>
                <w:u w:val="single"/>
              </w:rPr>
              <w:t xml:space="preserve">                     </w:t>
            </w:r>
          </w:p>
          <w:p>
            <w:pPr>
              <w:pStyle w:val="12"/>
              <w:topLinePunct/>
              <w:spacing w:line="400" w:lineRule="exact"/>
              <w:rPr>
                <w:rFonts w:asciiTheme="minorEastAsia" w:hAnsiTheme="minorEastAsia" w:eastAsiaTheme="minorEastAsia"/>
                <w:color w:val="000000"/>
                <w:sz w:val="21"/>
                <w:szCs w:val="21"/>
                <w:highlight w:val="none"/>
              </w:rPr>
            </w:pPr>
            <w:r>
              <w:rPr>
                <w:rFonts w:hint="eastAsia" w:cs="仿宋_GB2312" w:asciiTheme="minorEastAsia" w:hAnsiTheme="minorEastAsia" w:eastAsiaTheme="minorEastAsia"/>
                <w:sz w:val="21"/>
                <w:szCs w:val="21"/>
                <w:highlight w:val="none"/>
              </w:rPr>
              <w:t>注：投标截止时间以电子交易系统显示的时间为准，逾期系统将自动关闭</w:t>
            </w:r>
            <w:r>
              <w:rPr>
                <w:rFonts w:cs="仿宋_GB2312" w:asciiTheme="minorEastAsia" w:hAnsiTheme="minorEastAsia" w:eastAsiaTheme="minorEastAsia"/>
                <w:sz w:val="21"/>
                <w:szCs w:val="21"/>
                <w:highlight w:val="none"/>
              </w:rPr>
              <w:t xml:space="preserve">, </w:t>
            </w:r>
            <w:r>
              <w:rPr>
                <w:rFonts w:hint="eastAsia" w:cs="仿宋_GB2312" w:asciiTheme="minorEastAsia" w:hAnsiTheme="minorEastAsia" w:eastAsiaTheme="minorEastAsia"/>
                <w:sz w:val="21"/>
                <w:szCs w:val="21"/>
                <w:highlight w:val="none"/>
              </w:rPr>
              <w:t>未完成上传的投标文件将被拒绝。</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heme="minorEastAsia" w:hAnsiTheme="minorEastAsia" w:eastAsiaTheme="minorEastAsia"/>
                <w:color w:val="000000"/>
                <w:szCs w:val="21"/>
                <w:highlight w:val="none"/>
              </w:rPr>
            </w:pPr>
            <w:r>
              <w:rPr>
                <w:rFonts w:cs="仿宋_GB2312" w:asciiTheme="minorEastAsia" w:hAnsiTheme="minorEastAsia" w:eastAsiaTheme="minorEastAsia"/>
                <w:sz w:val="21"/>
                <w:szCs w:val="21"/>
                <w:highlight w:val="none"/>
              </w:rPr>
              <w:t>4.2.2</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heme="minorEastAsia" w:hAnsiTheme="minorEastAsia" w:eastAsiaTheme="minorEastAsia"/>
                <w:color w:val="000000"/>
                <w:szCs w:val="21"/>
                <w:highlight w:val="none"/>
              </w:rPr>
            </w:pPr>
            <w:r>
              <w:rPr>
                <w:rFonts w:hint="eastAsia" w:cs="仿宋_GB2312" w:asciiTheme="minorEastAsia" w:hAnsiTheme="minorEastAsia" w:eastAsiaTheme="minorEastAsia"/>
                <w:kern w:val="0"/>
                <w:sz w:val="21"/>
                <w:szCs w:val="21"/>
                <w:highlight w:val="none"/>
              </w:rPr>
              <w:t>递交非加密电子投标文件地点</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heme="minorEastAsia" w:hAnsiTheme="minorEastAsia" w:eastAsiaTheme="minorEastAsia"/>
                <w:color w:val="000000"/>
                <w:szCs w:val="21"/>
                <w:highlight w:val="none"/>
              </w:rPr>
            </w:pPr>
            <w:r>
              <w:rPr>
                <w:rFonts w:hint="eastAsia" w:cs="仿宋_GB2312" w:asciiTheme="minorEastAsia" w:hAnsiTheme="minorEastAsia" w:eastAsiaTheme="minorEastAsia"/>
                <w:bCs/>
                <w:snapToGrid w:val="0"/>
                <w:kern w:val="0"/>
                <w:sz w:val="21"/>
                <w:szCs w:val="21"/>
                <w:highlight w:val="none"/>
              </w:rPr>
              <w:t>同开标地点</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heme="minorEastAsia" w:hAnsiTheme="minorEastAsia" w:eastAsiaTheme="minorEastAsia"/>
                <w:color w:val="000000"/>
                <w:szCs w:val="21"/>
                <w:highlight w:val="none"/>
              </w:rPr>
            </w:pPr>
            <w:r>
              <w:rPr>
                <w:rFonts w:cs="仿宋_GB2312" w:asciiTheme="minorEastAsia" w:hAnsiTheme="minorEastAsia" w:eastAsiaTheme="minorEastAsia"/>
                <w:sz w:val="21"/>
                <w:szCs w:val="21"/>
                <w:highlight w:val="none"/>
              </w:rPr>
              <w:t>4.2.3</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heme="minorEastAsia" w:hAnsiTheme="minorEastAsia" w:eastAsiaTheme="minorEastAsia"/>
                <w:color w:val="000000"/>
                <w:szCs w:val="21"/>
                <w:highlight w:val="none"/>
              </w:rPr>
            </w:pPr>
            <w:r>
              <w:rPr>
                <w:rFonts w:hint="eastAsia" w:cs="仿宋_GB2312" w:asciiTheme="minorEastAsia" w:hAnsiTheme="minorEastAsia" w:eastAsiaTheme="minorEastAsia"/>
                <w:sz w:val="21"/>
                <w:szCs w:val="21"/>
                <w:highlight w:val="none"/>
              </w:rPr>
              <w:t>投标文件是否退还</w:t>
            </w:r>
          </w:p>
        </w:tc>
        <w:tc>
          <w:tcPr>
            <w:tcW w:w="5670" w:type="dxa"/>
            <w:tcBorders>
              <w:top w:val="single" w:color="auto" w:sz="4" w:space="0"/>
              <w:left w:val="single" w:color="auto" w:sz="4" w:space="0"/>
              <w:bottom w:val="single" w:color="auto" w:sz="4" w:space="0"/>
              <w:right w:val="single" w:color="auto" w:sz="4" w:space="0"/>
            </w:tcBorders>
            <w:vAlign w:val="center"/>
          </w:tcPr>
          <w:p>
            <w:pPr>
              <w:pStyle w:val="12"/>
              <w:topLinePunct/>
              <w:spacing w:line="360" w:lineRule="auto"/>
              <w:rPr>
                <w:rFonts w:cs="仿宋_GB2312" w:asciiTheme="minorEastAsia" w:hAnsiTheme="minorEastAsia" w:eastAsiaTheme="minorEastAsia"/>
                <w:sz w:val="21"/>
                <w:szCs w:val="21"/>
                <w:highlight w:val="none"/>
              </w:rPr>
            </w:pPr>
            <w:r>
              <w:rPr>
                <w:rFonts w:hint="eastAsia" w:cs="仿宋_GB2312" w:asciiTheme="minorEastAsia" w:hAnsiTheme="minorEastAsia" w:eastAsiaTheme="minorEastAsia"/>
                <w:sz w:val="21"/>
                <w:szCs w:val="21"/>
                <w:highlight w:val="none"/>
              </w:rPr>
              <w:t>□否</w:t>
            </w:r>
          </w:p>
          <w:p>
            <w:pPr>
              <w:spacing w:line="440" w:lineRule="exact"/>
              <w:rPr>
                <w:rFonts w:asciiTheme="minorEastAsia" w:hAnsiTheme="minorEastAsia" w:eastAsiaTheme="minorEastAsia"/>
                <w:color w:val="000000"/>
                <w:szCs w:val="21"/>
                <w:highlight w:val="none"/>
              </w:rPr>
            </w:pPr>
            <w:r>
              <w:rPr>
                <w:rFonts w:hint="eastAsia" w:cs="仿宋_GB2312" w:asciiTheme="minorEastAsia" w:hAnsiTheme="minorEastAsia" w:eastAsiaTheme="minorEastAsia"/>
                <w:sz w:val="21"/>
                <w:szCs w:val="21"/>
                <w:highlight w:val="none"/>
              </w:rPr>
              <w:t>□是（指非加密投标文件），退还时间：</w:t>
            </w:r>
            <w:r>
              <w:rPr>
                <w:rFonts w:cs="仿宋_GB2312" w:asciiTheme="minorEastAsia" w:hAnsiTheme="minorEastAsia" w:eastAsiaTheme="minorEastAsia"/>
                <w:kern w:val="0"/>
                <w:sz w:val="21"/>
                <w:szCs w:val="21"/>
                <w:highlight w:val="none"/>
                <w:u w:val="single"/>
              </w:rPr>
              <w:t xml:space="preserve">         </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nil"/>
              <w:right w:val="single" w:color="auto" w:sz="4" w:space="0"/>
            </w:tcBorders>
            <w:vAlign w:val="center"/>
          </w:tcPr>
          <w:p>
            <w:pPr>
              <w:spacing w:line="440" w:lineRule="exact"/>
              <w:jc w:val="center"/>
              <w:rPr>
                <w:rFonts w:asciiTheme="minorEastAsia" w:hAnsiTheme="minorEastAsia" w:eastAsiaTheme="minorEastAsia"/>
                <w:color w:val="000000"/>
                <w:szCs w:val="21"/>
                <w:highlight w:val="none"/>
              </w:rPr>
            </w:pPr>
            <w:r>
              <w:rPr>
                <w:rFonts w:cs="仿宋_GB2312" w:asciiTheme="minorEastAsia" w:hAnsiTheme="minorEastAsia" w:eastAsiaTheme="minorEastAsia"/>
                <w:sz w:val="21"/>
                <w:szCs w:val="21"/>
                <w:highlight w:val="none"/>
              </w:rPr>
              <w:t>5.2</w:t>
            </w:r>
          </w:p>
        </w:tc>
        <w:tc>
          <w:tcPr>
            <w:tcW w:w="2487" w:type="dxa"/>
            <w:tcBorders>
              <w:top w:val="single" w:color="auto" w:sz="4" w:space="0"/>
              <w:left w:val="single" w:color="auto" w:sz="4" w:space="0"/>
              <w:bottom w:val="nil"/>
              <w:right w:val="single" w:color="auto" w:sz="4" w:space="0"/>
            </w:tcBorders>
            <w:vAlign w:val="center"/>
          </w:tcPr>
          <w:p>
            <w:pPr>
              <w:spacing w:line="440" w:lineRule="exact"/>
              <w:jc w:val="center"/>
              <w:rPr>
                <w:rFonts w:asciiTheme="minorEastAsia" w:hAnsiTheme="minorEastAsia" w:eastAsiaTheme="minorEastAsia"/>
                <w:color w:val="000000"/>
                <w:szCs w:val="21"/>
                <w:highlight w:val="none"/>
              </w:rPr>
            </w:pPr>
            <w:r>
              <w:rPr>
                <w:rFonts w:hint="eastAsia" w:cs="仿宋_GB2312" w:asciiTheme="minorEastAsia" w:hAnsiTheme="minorEastAsia" w:eastAsiaTheme="minorEastAsia"/>
                <w:sz w:val="21"/>
                <w:szCs w:val="21"/>
                <w:highlight w:val="none"/>
              </w:rPr>
              <w:t>开标程序</w:t>
            </w:r>
          </w:p>
        </w:tc>
        <w:tc>
          <w:tcPr>
            <w:tcW w:w="5670" w:type="dxa"/>
            <w:tcBorders>
              <w:top w:val="single" w:color="auto" w:sz="4" w:space="0"/>
              <w:left w:val="single" w:color="auto" w:sz="4" w:space="0"/>
              <w:bottom w:val="nil"/>
              <w:right w:val="single" w:color="auto" w:sz="4" w:space="0"/>
            </w:tcBorders>
            <w:vAlign w:val="center"/>
          </w:tcPr>
          <w:p>
            <w:pPr>
              <w:snapToGrid w:val="0"/>
              <w:spacing w:line="360" w:lineRule="auto"/>
              <w:rPr>
                <w:rFonts w:cs="仿宋_GB2312" w:asciiTheme="minorEastAsia" w:hAnsiTheme="minorEastAsia" w:eastAsiaTheme="minorEastAsia"/>
                <w:bCs/>
                <w:snapToGrid w:val="0"/>
                <w:kern w:val="0"/>
                <w:sz w:val="21"/>
                <w:szCs w:val="21"/>
                <w:highlight w:val="none"/>
              </w:rPr>
            </w:pPr>
            <w:r>
              <w:rPr>
                <w:rFonts w:hint="eastAsia" w:cs="仿宋_GB2312" w:asciiTheme="minorEastAsia" w:hAnsiTheme="minorEastAsia" w:eastAsiaTheme="minorEastAsia"/>
                <w:sz w:val="21"/>
                <w:szCs w:val="21"/>
                <w:highlight w:val="none"/>
              </w:rPr>
              <w:t>（</w:t>
            </w:r>
            <w:r>
              <w:rPr>
                <w:rFonts w:cs="仿宋_GB2312" w:asciiTheme="minorEastAsia" w:hAnsiTheme="minorEastAsia" w:eastAsiaTheme="minorEastAsia"/>
                <w:sz w:val="21"/>
                <w:szCs w:val="21"/>
                <w:highlight w:val="none"/>
              </w:rPr>
              <w:t>4）解密时间：</w:t>
            </w:r>
            <w:r>
              <w:rPr>
                <w:rFonts w:cs="仿宋_GB2312" w:asciiTheme="minorEastAsia" w:hAnsiTheme="minorEastAsia" w:eastAsiaTheme="minorEastAsia"/>
                <w:bCs/>
                <w:snapToGrid w:val="0"/>
                <w:kern w:val="0"/>
                <w:sz w:val="21"/>
                <w:szCs w:val="21"/>
                <w:highlight w:val="none"/>
                <w:u w:val="single"/>
              </w:rPr>
              <w:t xml:space="preserve">    </w:t>
            </w:r>
            <w:r>
              <w:rPr>
                <w:rFonts w:hint="eastAsia" w:cs="仿宋_GB2312" w:asciiTheme="minorEastAsia" w:hAnsiTheme="minorEastAsia" w:eastAsiaTheme="minorEastAsia"/>
                <w:sz w:val="21"/>
                <w:szCs w:val="21"/>
                <w:highlight w:val="none"/>
              </w:rPr>
              <w:t>分钟</w:t>
            </w:r>
            <w:r>
              <w:rPr>
                <w:rFonts w:hint="eastAsia" w:cs="仿宋_GB2312" w:asciiTheme="minorEastAsia" w:hAnsiTheme="minorEastAsia" w:eastAsiaTheme="minorEastAsia"/>
                <w:bCs/>
                <w:snapToGrid w:val="0"/>
                <w:kern w:val="0"/>
                <w:sz w:val="21"/>
                <w:szCs w:val="21"/>
                <w:highlight w:val="none"/>
              </w:rPr>
              <w:t>（以电子交易系统解密倒计时为准）；</w:t>
            </w:r>
          </w:p>
          <w:p>
            <w:pPr>
              <w:spacing w:line="440" w:lineRule="exact"/>
              <w:rPr>
                <w:rFonts w:asciiTheme="minorEastAsia" w:hAnsiTheme="minorEastAsia" w:eastAsiaTheme="minorEastAsia"/>
                <w:color w:val="000000"/>
                <w:szCs w:val="21"/>
                <w:highlight w:val="none"/>
              </w:rPr>
            </w:pPr>
            <w:r>
              <w:rPr>
                <w:rFonts w:hint="eastAsia" w:cs="仿宋_GB2312" w:asciiTheme="minorEastAsia" w:hAnsiTheme="minorEastAsia" w:eastAsiaTheme="minorEastAsia"/>
                <w:sz w:val="21"/>
                <w:szCs w:val="21"/>
                <w:highlight w:val="none"/>
              </w:rPr>
              <w:t>注：①投标人应在投标截止时间以前登录电子交易系统并保持在线，直到项目评审结束；②加密和解密须用同一数字证书。</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6.1.1</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评标委员会的组建</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评标委员会构成：</w:t>
            </w:r>
            <w:r>
              <w:rPr>
                <w:rFonts w:ascii="Times New Roman" w:hAnsi="Times New Roman"/>
                <w:highlight w:val="none"/>
                <w:u w:val="single"/>
              </w:rPr>
              <w:t xml:space="preserve">         </w:t>
            </w:r>
            <w:r>
              <w:rPr>
                <w:rFonts w:ascii="Times New Roman" w:hAnsi="Times New Roman"/>
                <w:color w:val="000000"/>
                <w:highlight w:val="none"/>
              </w:rPr>
              <w:t>人</w:t>
            </w:r>
          </w:p>
          <w:p>
            <w:pPr>
              <w:spacing w:line="440" w:lineRule="exact"/>
              <w:rPr>
                <w:rFonts w:ascii="Times New Roman" w:hAnsi="Times New Roman"/>
                <w:color w:val="000000"/>
                <w:highlight w:val="none"/>
              </w:rPr>
            </w:pPr>
            <w:r>
              <w:rPr>
                <w:rFonts w:ascii="Times New Roman" w:hAnsi="Times New Roman"/>
                <w:color w:val="000000"/>
                <w:highlight w:val="none"/>
              </w:rPr>
              <w:t>其中招标人代表</w:t>
            </w:r>
            <w:r>
              <w:rPr>
                <w:rFonts w:ascii="Times New Roman" w:hAnsi="Times New Roman"/>
                <w:highlight w:val="none"/>
                <w:u w:val="single"/>
              </w:rPr>
              <w:t xml:space="preserve">       </w:t>
            </w:r>
            <w:r>
              <w:rPr>
                <w:rFonts w:ascii="Times New Roman" w:hAnsi="Times New Roman"/>
                <w:color w:val="000000"/>
                <w:highlight w:val="none"/>
              </w:rPr>
              <w:t>人，专家</w:t>
            </w:r>
            <w:r>
              <w:rPr>
                <w:rFonts w:ascii="Times New Roman" w:hAnsi="Times New Roman"/>
                <w:highlight w:val="none"/>
                <w:u w:val="single"/>
              </w:rPr>
              <w:t xml:space="preserve">       </w:t>
            </w:r>
            <w:r>
              <w:rPr>
                <w:rFonts w:ascii="Times New Roman" w:hAnsi="Times New Roman"/>
                <w:color w:val="000000"/>
                <w:highlight w:val="none"/>
              </w:rPr>
              <w:t>人</w:t>
            </w:r>
          </w:p>
          <w:p>
            <w:pPr>
              <w:spacing w:line="440" w:lineRule="exact"/>
              <w:rPr>
                <w:rFonts w:ascii="Times New Roman" w:hAnsi="Times New Roman"/>
                <w:color w:val="000000"/>
                <w:highlight w:val="none"/>
              </w:rPr>
            </w:pPr>
            <w:r>
              <w:rPr>
                <w:rFonts w:ascii="Times New Roman" w:hAnsi="Times New Roman"/>
                <w:color w:val="000000"/>
                <w:highlight w:val="none"/>
              </w:rPr>
              <w:t>评标专家确定方式：</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6.3.2</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评标委员会推荐中标候选人的人数</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highlight w:val="none"/>
              </w:rPr>
              <w:t>7.1</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color w:val="000000"/>
                <w:highlight w:val="none"/>
              </w:rPr>
            </w:pPr>
            <w:r>
              <w:rPr>
                <w:rFonts w:ascii="Times New Roman" w:hAnsi="Times New Roman"/>
                <w:highlight w:val="none"/>
              </w:rPr>
              <w:t>中标候选人公示媒介及期限</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sz w:val="32"/>
                <w:highlight w:val="none"/>
              </w:rPr>
            </w:pPr>
            <w:r>
              <w:rPr>
                <w:rFonts w:hint="eastAsia" w:cs="仿宋_GB2312" w:asciiTheme="minorEastAsia" w:hAnsiTheme="minorEastAsia" w:eastAsiaTheme="minorEastAsia"/>
                <w:sz w:val="21"/>
                <w:szCs w:val="21"/>
                <w:highlight w:val="none"/>
              </w:rPr>
              <w:t>中标候选人将在</w:t>
            </w:r>
            <w:r>
              <w:rPr>
                <w:rFonts w:hint="eastAsia" w:cs="仿宋_GB2312" w:asciiTheme="minorEastAsia" w:hAnsiTheme="minorEastAsia" w:eastAsiaTheme="minorEastAsia"/>
                <w:sz w:val="21"/>
                <w:szCs w:val="21"/>
                <w:highlight w:val="none"/>
                <w:u w:val="single"/>
              </w:rPr>
              <w:t>《西藏自治区公共资源交易网》《中国招标投标公共服务平台》《西藏自治区水利网》</w:t>
            </w:r>
            <w:r>
              <w:rPr>
                <w:rFonts w:cs="仿宋_GB2312" w:asciiTheme="minorEastAsia" w:hAnsiTheme="minorEastAsia" w:eastAsiaTheme="minorEastAsia"/>
                <w:bCs/>
                <w:snapToGrid w:val="0"/>
                <w:kern w:val="0"/>
                <w:sz w:val="21"/>
                <w:szCs w:val="21"/>
                <w:highlight w:val="none"/>
                <w:u w:val="single"/>
              </w:rPr>
              <w:t xml:space="preserve">、……       </w:t>
            </w:r>
            <w:r>
              <w:rPr>
                <w:rFonts w:cs="仿宋_GB2312" w:asciiTheme="minorEastAsia" w:hAnsiTheme="minorEastAsia" w:eastAsiaTheme="minorEastAsia"/>
                <w:sz w:val="21"/>
                <w:szCs w:val="21"/>
                <w:highlight w:val="none"/>
                <w:u w:val="single"/>
              </w:rPr>
              <w:t xml:space="preserve">       </w:t>
            </w:r>
            <w:r>
              <w:rPr>
                <w:rFonts w:hint="eastAsia" w:cs="仿宋_GB2312" w:asciiTheme="minorEastAsia" w:hAnsiTheme="minorEastAsia" w:eastAsiaTheme="minorEastAsia"/>
                <w:sz w:val="21"/>
                <w:szCs w:val="21"/>
                <w:highlight w:val="none"/>
              </w:rPr>
              <w:t>公示</w:t>
            </w:r>
            <w:r>
              <w:rPr>
                <w:rFonts w:cs="仿宋_GB2312" w:asciiTheme="minorEastAsia" w:hAnsiTheme="minorEastAsia" w:eastAsiaTheme="minorEastAsia"/>
                <w:sz w:val="21"/>
                <w:szCs w:val="21"/>
                <w:highlight w:val="none"/>
              </w:rPr>
              <w:t xml:space="preserve"> </w:t>
            </w:r>
            <w:r>
              <w:rPr>
                <w:rFonts w:hint="eastAsia" w:cs="仿宋_GB2312" w:asciiTheme="minorEastAsia" w:hAnsiTheme="minorEastAsia" w:eastAsiaTheme="minorEastAsia"/>
                <w:sz w:val="21"/>
                <w:szCs w:val="21"/>
                <w:highlight w:val="none"/>
              </w:rPr>
              <w:t>，公示期</w:t>
            </w:r>
            <w:r>
              <w:rPr>
                <w:rFonts w:cs="仿宋_GB2312" w:asciiTheme="minorEastAsia" w:hAnsiTheme="minorEastAsia" w:eastAsiaTheme="minorEastAsia"/>
                <w:sz w:val="21"/>
                <w:szCs w:val="21"/>
                <w:highlight w:val="none"/>
                <w:u w:val="single"/>
              </w:rPr>
              <w:t xml:space="preserve">   </w:t>
            </w:r>
            <w:r>
              <w:rPr>
                <w:rFonts w:hint="eastAsia" w:cs="仿宋_GB2312" w:asciiTheme="minorEastAsia" w:hAnsiTheme="minorEastAsia" w:eastAsiaTheme="minorEastAsia"/>
                <w:sz w:val="21"/>
                <w:szCs w:val="21"/>
                <w:highlight w:val="none"/>
              </w:rPr>
              <w:t>日</w:t>
            </w:r>
            <w:r>
              <w:rPr>
                <w:rFonts w:hint="eastAsia" w:cs="仿宋_GB2312" w:asciiTheme="minorEastAsia" w:hAnsiTheme="minorEastAsia" w:eastAsiaTheme="minorEastAsia"/>
                <w:b/>
                <w:i/>
                <w:sz w:val="21"/>
                <w:szCs w:val="21"/>
                <w:highlight w:val="none"/>
              </w:rPr>
              <w:t>（说明：公示期截止时间在法定休息日的应顺延至首个工作日）。</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highlight w:val="none"/>
              </w:rPr>
            </w:pPr>
            <w:r>
              <w:rPr>
                <w:rFonts w:ascii="Times New Roman" w:hAnsi="Times New Roman"/>
                <w:highlight w:val="none"/>
              </w:rPr>
              <w:t>7.4</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highlight w:val="none"/>
              </w:rPr>
            </w:pPr>
            <w:r>
              <w:rPr>
                <w:rFonts w:ascii="Times New Roman" w:hAnsi="Times New Roman"/>
                <w:highlight w:val="none"/>
              </w:rPr>
              <w:t>是否授权评标委员会确定中标人</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sz w:val="32"/>
                <w:highlight w:val="none"/>
              </w:rPr>
              <w:t>□</w:t>
            </w:r>
            <w:r>
              <w:rPr>
                <w:rFonts w:ascii="Times New Roman" w:hAnsi="Times New Roman"/>
                <w:color w:val="000000"/>
                <w:highlight w:val="none"/>
              </w:rPr>
              <w:t>是</w:t>
            </w:r>
          </w:p>
          <w:p>
            <w:pPr>
              <w:spacing w:line="440" w:lineRule="exact"/>
              <w:rPr>
                <w:rFonts w:ascii="Times New Roman" w:hAnsi="Times New Roman"/>
                <w:highlight w:val="none"/>
              </w:rPr>
            </w:pPr>
            <w:r>
              <w:rPr>
                <w:rFonts w:ascii="Times New Roman" w:hAnsi="Times New Roman"/>
                <w:sz w:val="32"/>
                <w:highlight w:val="none"/>
              </w:rPr>
              <w:t>□</w:t>
            </w:r>
            <w:r>
              <w:rPr>
                <w:rFonts w:ascii="Times New Roman" w:hAnsi="Times New Roman"/>
                <w:highlight w:val="none"/>
              </w:rPr>
              <w:t>否</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heme="minorEastAsia" w:hAnsiTheme="minorEastAsia" w:eastAsiaTheme="minorEastAsia"/>
                <w:szCs w:val="21"/>
                <w:highlight w:val="none"/>
              </w:rPr>
            </w:pPr>
            <w:r>
              <w:rPr>
                <w:rFonts w:cs="仿宋_GB2312" w:asciiTheme="minorEastAsia" w:hAnsiTheme="minorEastAsia" w:eastAsiaTheme="minorEastAsia"/>
                <w:sz w:val="21"/>
                <w:szCs w:val="21"/>
                <w:highlight w:val="none"/>
              </w:rPr>
              <w:t>7.5</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heme="minorEastAsia" w:hAnsiTheme="minorEastAsia" w:eastAsiaTheme="minorEastAsia"/>
                <w:szCs w:val="21"/>
                <w:highlight w:val="none"/>
              </w:rPr>
            </w:pPr>
            <w:r>
              <w:rPr>
                <w:rFonts w:hint="eastAsia" w:cs="仿宋_GB2312" w:asciiTheme="minorEastAsia" w:hAnsiTheme="minorEastAsia" w:eastAsiaTheme="minorEastAsia"/>
                <w:sz w:val="21"/>
                <w:szCs w:val="21"/>
                <w:highlight w:val="none"/>
              </w:rPr>
              <w:t>中标通知书和中标结果通知发出的形式</w:t>
            </w:r>
          </w:p>
        </w:tc>
        <w:tc>
          <w:tcPr>
            <w:tcW w:w="5670" w:type="dxa"/>
            <w:tcBorders>
              <w:top w:val="single" w:color="auto" w:sz="4" w:space="0"/>
              <w:left w:val="single" w:color="auto" w:sz="4" w:space="0"/>
              <w:bottom w:val="single" w:color="auto" w:sz="4" w:space="0"/>
              <w:right w:val="single" w:color="auto" w:sz="4" w:space="0"/>
            </w:tcBorders>
            <w:vAlign w:val="center"/>
          </w:tcPr>
          <w:p>
            <w:pPr>
              <w:spacing w:line="360" w:lineRule="auto"/>
              <w:ind w:left="-4" w:leftChars="-2" w:firstLine="2" w:firstLineChars="1"/>
              <w:jc w:val="left"/>
              <w:textAlignment w:val="center"/>
              <w:rPr>
                <w:rFonts w:cs="仿宋_GB2312" w:asciiTheme="minorEastAsia" w:hAnsiTheme="minorEastAsia" w:eastAsiaTheme="minorEastAsia"/>
                <w:sz w:val="21"/>
                <w:szCs w:val="21"/>
                <w:highlight w:val="none"/>
              </w:rPr>
            </w:pPr>
            <w:r>
              <w:rPr>
                <w:rFonts w:hint="eastAsia" w:cs="仿宋_GB2312" w:asciiTheme="minorEastAsia" w:hAnsiTheme="minorEastAsia" w:eastAsiaTheme="minorEastAsia"/>
                <w:sz w:val="21"/>
                <w:szCs w:val="21"/>
                <w:highlight w:val="none"/>
              </w:rPr>
              <w:t>（</w:t>
            </w:r>
            <w:r>
              <w:rPr>
                <w:rFonts w:cs="仿宋_GB2312" w:asciiTheme="minorEastAsia" w:hAnsiTheme="minorEastAsia" w:eastAsiaTheme="minorEastAsia"/>
                <w:sz w:val="21"/>
                <w:szCs w:val="21"/>
                <w:highlight w:val="none"/>
              </w:rPr>
              <w:t xml:space="preserve">1）中标通知书发出的形式：□书面  </w:t>
            </w:r>
            <w:r>
              <w:rPr>
                <w:rFonts w:hint="eastAsia" w:cs="仿宋_GB2312" w:asciiTheme="minorEastAsia" w:hAnsiTheme="minorEastAsia" w:eastAsiaTheme="minorEastAsia"/>
                <w:sz w:val="21"/>
                <w:szCs w:val="21"/>
                <w:highlight w:val="none"/>
              </w:rPr>
              <w:t>□数据电文</w:t>
            </w:r>
          </w:p>
          <w:p>
            <w:pPr>
              <w:spacing w:line="440" w:lineRule="exact"/>
              <w:rPr>
                <w:rFonts w:asciiTheme="minorEastAsia" w:hAnsiTheme="minorEastAsia" w:eastAsiaTheme="minorEastAsia"/>
                <w:color w:val="000000"/>
                <w:sz w:val="21"/>
                <w:szCs w:val="21"/>
                <w:highlight w:val="none"/>
              </w:rPr>
            </w:pPr>
            <w:r>
              <w:rPr>
                <w:rFonts w:hint="eastAsia" w:cs="仿宋_GB2312" w:asciiTheme="minorEastAsia" w:hAnsiTheme="minorEastAsia" w:eastAsiaTheme="minorEastAsia"/>
                <w:sz w:val="21"/>
                <w:szCs w:val="21"/>
                <w:highlight w:val="none"/>
              </w:rPr>
              <w:t>（</w:t>
            </w:r>
            <w:r>
              <w:rPr>
                <w:rFonts w:cs="仿宋_GB2312" w:asciiTheme="minorEastAsia" w:hAnsiTheme="minorEastAsia" w:eastAsiaTheme="minorEastAsia"/>
                <w:sz w:val="21"/>
                <w:szCs w:val="21"/>
                <w:highlight w:val="none"/>
              </w:rPr>
              <w:t>2）中标结果通知发出的形式：□</w:t>
            </w:r>
            <w:r>
              <w:rPr>
                <w:rFonts w:hint="eastAsia" w:cs="仿宋_GB2312" w:asciiTheme="minorEastAsia" w:hAnsiTheme="minorEastAsia" w:eastAsiaTheme="minorEastAsia"/>
                <w:szCs w:val="21"/>
                <w:highlight w:val="none"/>
              </w:rPr>
              <w:t xml:space="preserve">书面  </w:t>
            </w:r>
            <w:r>
              <w:rPr>
                <w:rFonts w:hint="eastAsia" w:cs="仿宋_GB2312" w:asciiTheme="minorEastAsia" w:hAnsiTheme="minorEastAsia" w:eastAsiaTheme="minorEastAsia"/>
                <w:sz w:val="21"/>
                <w:szCs w:val="21"/>
                <w:highlight w:val="none"/>
              </w:rPr>
              <w:t>□数据电文</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7.</w:t>
            </w:r>
            <w:r>
              <w:rPr>
                <w:rFonts w:ascii="Times New Roman" w:hAnsi="Times New Roman"/>
                <w:highlight w:val="none"/>
              </w:rPr>
              <w:t>6.</w:t>
            </w:r>
            <w:r>
              <w:rPr>
                <w:rFonts w:ascii="Times New Roman" w:hAnsi="Times New Roman"/>
                <w:color w:val="000000"/>
                <w:highlight w:val="none"/>
              </w:rPr>
              <w:t>1</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highlight w:val="none"/>
              </w:rPr>
              <w:t>履约保证金</w:t>
            </w:r>
          </w:p>
        </w:tc>
        <w:tc>
          <w:tcPr>
            <w:tcW w:w="5670" w:type="dxa"/>
            <w:tcBorders>
              <w:top w:val="single" w:color="auto" w:sz="4" w:space="0"/>
              <w:left w:val="single" w:color="auto" w:sz="4" w:space="0"/>
              <w:bottom w:val="single" w:color="auto" w:sz="4" w:space="0"/>
              <w:right w:val="single" w:color="auto" w:sz="4" w:space="0"/>
            </w:tcBorders>
            <w:vAlign w:val="center"/>
          </w:tcPr>
          <w:p>
            <w:pPr>
              <w:pStyle w:val="12"/>
              <w:topLinePunct/>
              <w:spacing w:line="400" w:lineRule="exact"/>
              <w:rPr>
                <w:rFonts w:ascii="Times New Roman" w:hAnsi="Times New Roman"/>
                <w:sz w:val="21"/>
                <w:szCs w:val="21"/>
                <w:highlight w:val="none"/>
              </w:rPr>
            </w:pPr>
            <w:r>
              <w:rPr>
                <w:rFonts w:ascii="Times New Roman" w:hAnsi="Times New Roman"/>
                <w:sz w:val="21"/>
                <w:szCs w:val="21"/>
                <w:highlight w:val="none"/>
              </w:rPr>
              <w:t>是否要求中标人提交履约保证金：</w:t>
            </w:r>
          </w:p>
          <w:p>
            <w:pPr>
              <w:pStyle w:val="12"/>
              <w:topLinePunct/>
              <w:spacing w:line="400" w:lineRule="exact"/>
              <w:rPr>
                <w:rFonts w:ascii="Times New Roman" w:hAnsi="Times New Roman"/>
                <w:sz w:val="21"/>
                <w:szCs w:val="21"/>
                <w:highlight w:val="none"/>
              </w:rPr>
            </w:pPr>
            <w:r>
              <w:rPr>
                <w:rFonts w:ascii="Times New Roman" w:hAnsi="Times New Roman"/>
                <w:color w:val="000000"/>
                <w:sz w:val="32"/>
                <w:highlight w:val="none"/>
              </w:rPr>
              <w:t>□</w:t>
            </w:r>
            <w:r>
              <w:rPr>
                <w:rFonts w:ascii="Times New Roman" w:hAnsi="Times New Roman"/>
                <w:sz w:val="21"/>
                <w:szCs w:val="21"/>
                <w:highlight w:val="none"/>
              </w:rPr>
              <w:t>要求</w:t>
            </w:r>
            <w:r>
              <w:rPr>
                <w:rFonts w:hint="eastAsia" w:ascii="Times New Roman" w:hAnsi="Times New Roman"/>
                <w:sz w:val="21"/>
                <w:szCs w:val="21"/>
                <w:highlight w:val="none"/>
              </w:rPr>
              <w:t>，</w:t>
            </w:r>
            <w:r>
              <w:rPr>
                <w:rFonts w:ascii="Times New Roman" w:hAnsi="Times New Roman"/>
                <w:sz w:val="21"/>
                <w:szCs w:val="21"/>
                <w:highlight w:val="none"/>
              </w:rPr>
              <w:t>履约保证金的形式：</w:t>
            </w:r>
          </w:p>
          <w:p>
            <w:pPr>
              <w:spacing w:line="440" w:lineRule="exact"/>
              <w:ind w:firstLine="840" w:firstLineChars="400"/>
              <w:rPr>
                <w:rFonts w:ascii="Times New Roman" w:hAnsi="Times New Roman"/>
                <w:szCs w:val="21"/>
                <w:highlight w:val="none"/>
              </w:rPr>
            </w:pPr>
            <w:r>
              <w:rPr>
                <w:rFonts w:ascii="Times New Roman" w:hAnsi="Times New Roman"/>
                <w:szCs w:val="21"/>
                <w:highlight w:val="none"/>
              </w:rPr>
              <w:t>履约保证金的金额：</w:t>
            </w:r>
          </w:p>
          <w:p>
            <w:pPr>
              <w:spacing w:line="440" w:lineRule="exact"/>
              <w:rPr>
                <w:rFonts w:ascii="Times New Roman" w:hAnsi="Times New Roman"/>
                <w:highlight w:val="none"/>
              </w:rPr>
            </w:pPr>
            <w:r>
              <w:rPr>
                <w:rFonts w:ascii="Times New Roman" w:hAnsi="Times New Roman"/>
                <w:color w:val="000000"/>
                <w:sz w:val="32"/>
                <w:highlight w:val="none"/>
              </w:rPr>
              <w:t>□</w:t>
            </w:r>
            <w:r>
              <w:rPr>
                <w:rFonts w:ascii="Times New Roman" w:hAnsi="Times New Roman"/>
                <w:highlight w:val="none"/>
              </w:rPr>
              <w:t>不要求</w:t>
            </w:r>
          </w:p>
        </w:tc>
      </w:tr>
      <w:tr>
        <w:tblPrEx>
          <w:tblCellMar>
            <w:top w:w="0" w:type="dxa"/>
            <w:left w:w="108" w:type="dxa"/>
            <w:bottom w:w="0" w:type="dxa"/>
            <w:right w:w="108" w:type="dxa"/>
          </w:tblCellMar>
        </w:tblPrEx>
        <w:trPr>
          <w:trHeight w:val="57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10</w:t>
            </w:r>
          </w:p>
        </w:tc>
        <w:tc>
          <w:tcPr>
            <w:tcW w:w="24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highlight w:val="none"/>
              </w:rPr>
            </w:pPr>
            <w:r>
              <w:rPr>
                <w:rFonts w:ascii="Times New Roman" w:hAnsi="Times New Roman"/>
                <w:highlight w:val="none"/>
              </w:rPr>
              <w:t>需要补充的其他内容</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sz w:val="32"/>
                <w:highlight w:val="none"/>
              </w:rPr>
            </w:pPr>
          </w:p>
        </w:tc>
      </w:tr>
      <w:tr>
        <w:tblPrEx>
          <w:tblCellMar>
            <w:top w:w="0" w:type="dxa"/>
            <w:left w:w="108" w:type="dxa"/>
            <w:bottom w:w="0" w:type="dxa"/>
            <w:right w:w="108" w:type="dxa"/>
          </w:tblCellMar>
        </w:tblPrEx>
        <w:trPr>
          <w:trHeight w:val="758"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eastAsiaTheme="minorEastAsia"/>
                <w:color w:val="000000"/>
                <w:szCs w:val="21"/>
                <w:highlight w:val="none"/>
              </w:rPr>
            </w:pPr>
            <w:r>
              <w:rPr>
                <w:rFonts w:cs="仿宋_GB2312" w:asciiTheme="minorEastAsia" w:hAnsiTheme="minorEastAsia" w:eastAsiaTheme="minorEastAsia"/>
                <w:sz w:val="21"/>
                <w:szCs w:val="21"/>
                <w:highlight w:val="none"/>
              </w:rPr>
              <w:t>10.1</w:t>
            </w:r>
          </w:p>
        </w:tc>
        <w:tc>
          <w:tcPr>
            <w:tcW w:w="24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eastAsiaTheme="minorEastAsia"/>
                <w:szCs w:val="21"/>
                <w:highlight w:val="none"/>
              </w:rPr>
            </w:pPr>
            <w:r>
              <w:rPr>
                <w:rFonts w:hint="eastAsia" w:cs="仿宋_GB2312" w:asciiTheme="minorEastAsia" w:hAnsiTheme="minorEastAsia" w:eastAsiaTheme="minorEastAsia"/>
                <w:kern w:val="0"/>
                <w:sz w:val="21"/>
                <w:szCs w:val="21"/>
                <w:highlight w:val="none"/>
              </w:rPr>
              <w:t>类似项目</w:t>
            </w:r>
          </w:p>
        </w:tc>
        <w:tc>
          <w:tcPr>
            <w:tcW w:w="567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Theme="minorEastAsia" w:hAnsiTheme="minorEastAsia" w:eastAsiaTheme="minorEastAsia"/>
                <w:color w:val="000000"/>
                <w:sz w:val="21"/>
                <w:szCs w:val="21"/>
                <w:highlight w:val="none"/>
              </w:rPr>
            </w:pP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eastAsiaTheme="minorEastAsia"/>
                <w:color w:val="000000"/>
                <w:szCs w:val="21"/>
                <w:highlight w:val="none"/>
              </w:rPr>
            </w:pPr>
            <w:r>
              <w:rPr>
                <w:rFonts w:cs="仿宋_GB2312" w:asciiTheme="minorEastAsia" w:hAnsiTheme="minorEastAsia" w:eastAsiaTheme="minorEastAsia"/>
                <w:sz w:val="21"/>
                <w:szCs w:val="21"/>
                <w:highlight w:val="none"/>
              </w:rPr>
              <w:t>10.2</w:t>
            </w:r>
          </w:p>
        </w:tc>
        <w:tc>
          <w:tcPr>
            <w:tcW w:w="24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eastAsiaTheme="minorEastAsia"/>
                <w:szCs w:val="21"/>
                <w:highlight w:val="none"/>
              </w:rPr>
            </w:pPr>
            <w:r>
              <w:rPr>
                <w:rFonts w:hint="eastAsia" w:cs="仿宋_GB2312" w:asciiTheme="minorEastAsia" w:hAnsiTheme="minorEastAsia" w:eastAsiaTheme="minorEastAsia"/>
                <w:kern w:val="0"/>
                <w:sz w:val="21"/>
                <w:szCs w:val="21"/>
                <w:highlight w:val="none"/>
              </w:rPr>
              <w:t>原件</w:t>
            </w:r>
          </w:p>
        </w:tc>
        <w:tc>
          <w:tcPr>
            <w:tcW w:w="567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Theme="minorEastAsia" w:hAnsiTheme="minorEastAsia" w:eastAsiaTheme="minorEastAsia"/>
                <w:color w:val="000000"/>
                <w:sz w:val="21"/>
                <w:szCs w:val="21"/>
                <w:highlight w:val="none"/>
              </w:rPr>
            </w:pPr>
            <w:r>
              <w:rPr>
                <w:rFonts w:hint="eastAsia" w:cs="仿宋_GB2312" w:asciiTheme="minorEastAsia" w:hAnsiTheme="minorEastAsia" w:eastAsiaTheme="minorEastAsia"/>
                <w:kern w:val="0"/>
                <w:sz w:val="21"/>
                <w:szCs w:val="21"/>
                <w:highlight w:val="none"/>
              </w:rPr>
              <w:t>投标时不提供原件（投标保函除外）。</w:t>
            </w:r>
            <w:r>
              <w:rPr>
                <w:rFonts w:hint="eastAsia" w:cs="仿宋_GB2312" w:asciiTheme="minorEastAsia" w:hAnsiTheme="minorEastAsia" w:eastAsiaTheme="minorEastAsia"/>
                <w:b/>
                <w:bCs/>
                <w:iCs/>
                <w:kern w:val="0"/>
                <w:sz w:val="21"/>
                <w:szCs w:val="21"/>
                <w:highlight w:val="none"/>
              </w:rPr>
              <w:t>投标人自行对此次投标提供的所有资料和证明文件等材料的真实性负责，若弄虚作假被查实，承担相应法律责任，按规定接受相关处罚，如中标，中标结果无效。</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eastAsiaTheme="minorEastAsia"/>
                <w:color w:val="000000"/>
                <w:szCs w:val="21"/>
                <w:highlight w:val="none"/>
              </w:rPr>
            </w:pPr>
            <w:r>
              <w:rPr>
                <w:rFonts w:cs="仿宋_GB2312" w:asciiTheme="minorEastAsia" w:hAnsiTheme="minorEastAsia" w:eastAsiaTheme="minorEastAsia"/>
                <w:sz w:val="21"/>
                <w:szCs w:val="21"/>
                <w:highlight w:val="none"/>
              </w:rPr>
              <w:t>10.3</w:t>
            </w:r>
          </w:p>
        </w:tc>
        <w:tc>
          <w:tcPr>
            <w:tcW w:w="24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eastAsiaTheme="minorEastAsia"/>
                <w:szCs w:val="21"/>
                <w:highlight w:val="none"/>
              </w:rPr>
            </w:pPr>
            <w:r>
              <w:rPr>
                <w:rFonts w:hint="eastAsia" w:cs="仿宋_GB2312" w:asciiTheme="minorEastAsia" w:hAnsiTheme="minorEastAsia" w:eastAsiaTheme="minorEastAsia"/>
                <w:sz w:val="21"/>
                <w:szCs w:val="21"/>
                <w:highlight w:val="none"/>
              </w:rPr>
              <w:t>招标文件的解释权</w:t>
            </w:r>
          </w:p>
        </w:tc>
        <w:tc>
          <w:tcPr>
            <w:tcW w:w="567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Theme="minorEastAsia" w:hAnsiTheme="minorEastAsia" w:eastAsiaTheme="minorEastAsia"/>
                <w:color w:val="000000"/>
                <w:sz w:val="21"/>
                <w:szCs w:val="21"/>
                <w:highlight w:val="none"/>
              </w:rPr>
            </w:pPr>
            <w:r>
              <w:rPr>
                <w:rFonts w:hint="eastAsia" w:cs="仿宋_GB2312" w:asciiTheme="minorEastAsia" w:hAnsiTheme="minorEastAsia" w:eastAsiaTheme="minorEastAsia"/>
                <w:sz w:val="21"/>
                <w:szCs w:val="21"/>
                <w:highlight w:val="none"/>
              </w:rPr>
              <w:t>构成本招标文件的各个组成文件应互为解释、互为说明，构成合同组成内容的，以合同文件约定内容为准。同一文件就同一事项的约定不一致的，以逻辑顺序在后者为准。按本款前述规定仍不能形成结论的，由招标人或其委托的</w:t>
            </w:r>
            <w:r>
              <w:rPr>
                <w:rFonts w:hint="eastAsia" w:cs="仿宋_GB2312" w:asciiTheme="minorEastAsia" w:hAnsiTheme="minorEastAsia" w:eastAsiaTheme="minorEastAsia"/>
                <w:sz w:val="21"/>
                <w:szCs w:val="21"/>
                <w:highlight w:val="none"/>
                <w:lang w:eastAsia="zh-CN"/>
              </w:rPr>
              <w:t>招标代理机构</w:t>
            </w:r>
            <w:r>
              <w:rPr>
                <w:rFonts w:hint="eastAsia" w:cs="仿宋_GB2312" w:asciiTheme="minorEastAsia" w:hAnsiTheme="minorEastAsia" w:eastAsiaTheme="minorEastAsia"/>
                <w:sz w:val="21"/>
                <w:szCs w:val="21"/>
                <w:highlight w:val="none"/>
              </w:rPr>
              <w:t>负责解释。</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eastAsiaTheme="minorEastAsia"/>
                <w:color w:val="000000"/>
                <w:szCs w:val="21"/>
                <w:highlight w:val="none"/>
              </w:rPr>
            </w:pPr>
            <w:r>
              <w:rPr>
                <w:rFonts w:cs="仿宋_GB2312" w:asciiTheme="minorEastAsia" w:hAnsiTheme="minorEastAsia" w:eastAsiaTheme="minorEastAsia"/>
                <w:sz w:val="21"/>
                <w:szCs w:val="21"/>
                <w:highlight w:val="none"/>
              </w:rPr>
              <w:t>10.4</w:t>
            </w:r>
          </w:p>
        </w:tc>
        <w:tc>
          <w:tcPr>
            <w:tcW w:w="24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仿宋_GB2312" w:asciiTheme="minorEastAsia" w:hAnsiTheme="minorEastAsia" w:eastAsiaTheme="minorEastAsia"/>
                <w:sz w:val="21"/>
                <w:szCs w:val="21"/>
                <w:highlight w:val="none"/>
              </w:rPr>
            </w:pPr>
            <w:r>
              <w:rPr>
                <w:rFonts w:hint="eastAsia" w:cs="仿宋_GB2312" w:asciiTheme="minorEastAsia" w:hAnsiTheme="minorEastAsia" w:eastAsiaTheme="minorEastAsia"/>
                <w:sz w:val="21"/>
                <w:szCs w:val="21"/>
                <w:highlight w:val="none"/>
              </w:rPr>
              <w:t>投标文件内容不一致的</w:t>
            </w:r>
          </w:p>
          <w:p>
            <w:pPr>
              <w:spacing w:line="360" w:lineRule="auto"/>
              <w:jc w:val="center"/>
              <w:rPr>
                <w:rFonts w:asciiTheme="minorEastAsia" w:hAnsiTheme="minorEastAsia" w:eastAsiaTheme="minorEastAsia"/>
                <w:szCs w:val="21"/>
                <w:highlight w:val="none"/>
              </w:rPr>
            </w:pPr>
            <w:r>
              <w:rPr>
                <w:rFonts w:hint="eastAsia" w:cs="仿宋_GB2312" w:asciiTheme="minorEastAsia" w:hAnsiTheme="minorEastAsia" w:eastAsiaTheme="minorEastAsia"/>
                <w:sz w:val="21"/>
                <w:szCs w:val="21"/>
                <w:highlight w:val="none"/>
              </w:rPr>
              <w:t>确认</w:t>
            </w:r>
          </w:p>
        </w:tc>
        <w:tc>
          <w:tcPr>
            <w:tcW w:w="567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Theme="minorEastAsia" w:hAnsiTheme="minorEastAsia" w:eastAsiaTheme="minorEastAsia"/>
                <w:color w:val="000000"/>
                <w:sz w:val="21"/>
                <w:szCs w:val="21"/>
                <w:highlight w:val="none"/>
              </w:rPr>
            </w:pPr>
            <w:r>
              <w:rPr>
                <w:rFonts w:hint="eastAsia" w:cs="仿宋_GB2312" w:asciiTheme="minorEastAsia" w:hAnsiTheme="minorEastAsia" w:eastAsiaTheme="minorEastAsia"/>
                <w:sz w:val="21"/>
                <w:szCs w:val="21"/>
                <w:highlight w:val="none"/>
              </w:rPr>
              <w:t>投标文件中的内容与投标函及投标函附录不一致的，以投标函及投标函附录为准；投标函与投标函附录不一致的，以投标函为准；小写数字与大写数字不一致的，以大写数字为准；其他内容不一致的，以不利于投标人的解释为准。</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eastAsiaTheme="minorEastAsia"/>
                <w:color w:val="000000"/>
                <w:szCs w:val="21"/>
                <w:highlight w:val="none"/>
              </w:rPr>
            </w:pPr>
            <w:r>
              <w:rPr>
                <w:rFonts w:cs="仿宋_GB2312" w:asciiTheme="minorEastAsia" w:hAnsiTheme="minorEastAsia" w:eastAsiaTheme="minorEastAsia"/>
                <w:sz w:val="21"/>
                <w:szCs w:val="21"/>
                <w:highlight w:val="none"/>
              </w:rPr>
              <w:t>10.5</w:t>
            </w:r>
          </w:p>
        </w:tc>
        <w:tc>
          <w:tcPr>
            <w:tcW w:w="24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eastAsiaTheme="minorEastAsia"/>
                <w:szCs w:val="21"/>
                <w:highlight w:val="none"/>
              </w:rPr>
            </w:pPr>
            <w:r>
              <w:rPr>
                <w:rFonts w:hint="eastAsia" w:cs="仿宋_GB2312" w:asciiTheme="minorEastAsia" w:hAnsiTheme="minorEastAsia" w:eastAsiaTheme="minorEastAsia"/>
                <w:sz w:val="21"/>
                <w:szCs w:val="21"/>
                <w:highlight w:val="none"/>
              </w:rPr>
              <w:t>中标结果公示</w:t>
            </w:r>
          </w:p>
        </w:tc>
        <w:tc>
          <w:tcPr>
            <w:tcW w:w="567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Theme="minorEastAsia" w:hAnsiTheme="minorEastAsia" w:eastAsiaTheme="minorEastAsia"/>
                <w:color w:val="000000"/>
                <w:sz w:val="21"/>
                <w:szCs w:val="21"/>
                <w:highlight w:val="none"/>
              </w:rPr>
            </w:pPr>
            <w:r>
              <w:rPr>
                <w:rFonts w:hint="eastAsia" w:cs="仿宋_GB2312" w:asciiTheme="minorEastAsia" w:hAnsiTheme="minorEastAsia" w:eastAsiaTheme="minorEastAsia"/>
                <w:sz w:val="21"/>
                <w:szCs w:val="21"/>
                <w:highlight w:val="none"/>
              </w:rPr>
              <w:t>中标结果将在</w:t>
            </w:r>
            <w:r>
              <w:rPr>
                <w:rFonts w:hint="eastAsia" w:cs="仿宋_GB2312" w:asciiTheme="minorEastAsia" w:hAnsiTheme="minorEastAsia" w:eastAsiaTheme="minorEastAsia"/>
                <w:sz w:val="21"/>
                <w:szCs w:val="21"/>
                <w:highlight w:val="none"/>
                <w:u w:val="single"/>
              </w:rPr>
              <w:t>同中标候选人公示媒介</w:t>
            </w:r>
            <w:r>
              <w:rPr>
                <w:rFonts w:hint="eastAsia" w:cs="仿宋_GB2312" w:asciiTheme="minorEastAsia" w:hAnsiTheme="minorEastAsia" w:eastAsiaTheme="minorEastAsia"/>
                <w:sz w:val="21"/>
                <w:szCs w:val="21"/>
                <w:highlight w:val="none"/>
              </w:rPr>
              <w:t>公示。</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eastAsiaTheme="minorEastAsia"/>
                <w:color w:val="000000"/>
                <w:szCs w:val="21"/>
                <w:highlight w:val="none"/>
              </w:rPr>
            </w:pPr>
            <w:r>
              <w:rPr>
                <w:rFonts w:cs="仿宋_GB2312" w:asciiTheme="minorEastAsia" w:hAnsiTheme="minorEastAsia" w:eastAsiaTheme="minorEastAsia"/>
                <w:sz w:val="21"/>
                <w:szCs w:val="21"/>
                <w:highlight w:val="none"/>
              </w:rPr>
              <w:t>10.6</w:t>
            </w:r>
          </w:p>
        </w:tc>
        <w:tc>
          <w:tcPr>
            <w:tcW w:w="24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eastAsiaTheme="minorEastAsia"/>
                <w:szCs w:val="21"/>
                <w:highlight w:val="none"/>
              </w:rPr>
            </w:pPr>
            <w:r>
              <w:rPr>
                <w:rFonts w:hint="eastAsia" w:cs="仿宋_GB2312" w:asciiTheme="minorEastAsia" w:hAnsiTheme="minorEastAsia" w:eastAsiaTheme="minorEastAsia"/>
                <w:bCs/>
                <w:snapToGrid w:val="0"/>
                <w:kern w:val="0"/>
                <w:sz w:val="21"/>
                <w:szCs w:val="21"/>
                <w:highlight w:val="none"/>
              </w:rPr>
              <w:t>电子招标投标意外情况的处理</w:t>
            </w:r>
          </w:p>
        </w:tc>
        <w:tc>
          <w:tcPr>
            <w:tcW w:w="5670"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仿宋_GB2312" w:asciiTheme="minorEastAsia" w:hAnsiTheme="minorEastAsia" w:eastAsiaTheme="minorEastAsia"/>
                <w:bCs/>
                <w:snapToGrid w:val="0"/>
                <w:kern w:val="0"/>
                <w:sz w:val="21"/>
                <w:szCs w:val="21"/>
                <w:highlight w:val="none"/>
              </w:rPr>
            </w:pPr>
            <w:r>
              <w:rPr>
                <w:rFonts w:cs="仿宋_GB2312" w:asciiTheme="minorEastAsia" w:hAnsiTheme="minorEastAsia" w:eastAsiaTheme="minorEastAsia"/>
                <w:bCs/>
                <w:snapToGrid w:val="0"/>
                <w:kern w:val="0"/>
                <w:sz w:val="21"/>
                <w:szCs w:val="21"/>
                <w:highlight w:val="none"/>
              </w:rPr>
              <w:t>10.8.1意外情况</w:t>
            </w:r>
          </w:p>
          <w:p>
            <w:pPr>
              <w:spacing w:line="360" w:lineRule="auto"/>
              <w:ind w:firstLine="420" w:firstLineChars="200"/>
              <w:jc w:val="left"/>
              <w:rPr>
                <w:rFonts w:cs="仿宋_GB2312" w:asciiTheme="minorEastAsia" w:hAnsiTheme="minorEastAsia" w:eastAsiaTheme="minorEastAsia"/>
                <w:bCs/>
                <w:snapToGrid w:val="0"/>
                <w:kern w:val="0"/>
                <w:sz w:val="21"/>
                <w:szCs w:val="21"/>
                <w:highlight w:val="none"/>
              </w:rPr>
            </w:pPr>
            <w:r>
              <w:rPr>
                <w:rFonts w:hint="eastAsia" w:cs="仿宋_GB2312" w:asciiTheme="minorEastAsia" w:hAnsiTheme="minorEastAsia" w:eastAsiaTheme="minorEastAsia"/>
                <w:bCs/>
                <w:snapToGrid w:val="0"/>
                <w:kern w:val="0"/>
                <w:sz w:val="21"/>
                <w:szCs w:val="21"/>
                <w:highlight w:val="none"/>
              </w:rPr>
              <w:t>出现下列情形导致电子服务系统或电子交易系统无法正常运行，经第三方机构认定后，各方当事人免责：</w:t>
            </w:r>
          </w:p>
          <w:p>
            <w:pPr>
              <w:spacing w:line="360" w:lineRule="auto"/>
              <w:jc w:val="left"/>
              <w:rPr>
                <w:rFonts w:cs="仿宋_GB2312" w:asciiTheme="minorEastAsia" w:hAnsiTheme="minorEastAsia" w:eastAsiaTheme="minorEastAsia"/>
                <w:bCs/>
                <w:snapToGrid w:val="0"/>
                <w:kern w:val="0"/>
                <w:sz w:val="21"/>
                <w:szCs w:val="21"/>
                <w:highlight w:val="none"/>
              </w:rPr>
            </w:pPr>
            <w:r>
              <w:rPr>
                <w:rFonts w:hint="eastAsia" w:cs="仿宋_GB2312" w:asciiTheme="minorEastAsia" w:hAnsiTheme="minorEastAsia" w:eastAsiaTheme="minorEastAsia"/>
                <w:bCs/>
                <w:snapToGrid w:val="0"/>
                <w:kern w:val="0"/>
                <w:sz w:val="21"/>
                <w:szCs w:val="21"/>
                <w:highlight w:val="none"/>
              </w:rPr>
              <w:t>（</w:t>
            </w:r>
            <w:r>
              <w:rPr>
                <w:rFonts w:cs="仿宋_GB2312" w:asciiTheme="minorEastAsia" w:hAnsiTheme="minorEastAsia" w:eastAsiaTheme="minorEastAsia"/>
                <w:bCs/>
                <w:snapToGrid w:val="0"/>
                <w:kern w:val="0"/>
                <w:sz w:val="21"/>
                <w:szCs w:val="21"/>
                <w:highlight w:val="none"/>
              </w:rPr>
              <w:t>1）网络、服务器、数据库发生故障造成无法访问或使用的；</w:t>
            </w:r>
          </w:p>
          <w:p>
            <w:pPr>
              <w:spacing w:line="360" w:lineRule="auto"/>
              <w:jc w:val="left"/>
              <w:rPr>
                <w:rFonts w:cs="仿宋_GB2312" w:asciiTheme="minorEastAsia" w:hAnsiTheme="minorEastAsia" w:eastAsiaTheme="minorEastAsia"/>
                <w:bCs/>
                <w:snapToGrid w:val="0"/>
                <w:kern w:val="0"/>
                <w:sz w:val="21"/>
                <w:szCs w:val="21"/>
                <w:highlight w:val="none"/>
              </w:rPr>
            </w:pPr>
            <w:r>
              <w:rPr>
                <w:rFonts w:hint="eastAsia" w:cs="仿宋_GB2312" w:asciiTheme="minorEastAsia" w:hAnsiTheme="minorEastAsia" w:eastAsiaTheme="minorEastAsia"/>
                <w:bCs/>
                <w:snapToGrid w:val="0"/>
                <w:kern w:val="0"/>
                <w:sz w:val="21"/>
                <w:szCs w:val="21"/>
                <w:highlight w:val="none"/>
              </w:rPr>
              <w:t>（</w:t>
            </w:r>
            <w:r>
              <w:rPr>
                <w:rFonts w:cs="仿宋_GB2312" w:asciiTheme="minorEastAsia" w:hAnsiTheme="minorEastAsia" w:eastAsiaTheme="minorEastAsia"/>
                <w:bCs/>
                <w:snapToGrid w:val="0"/>
                <w:kern w:val="0"/>
                <w:sz w:val="21"/>
                <w:szCs w:val="21"/>
                <w:highlight w:val="none"/>
              </w:rPr>
              <w:t>2）电力系统发生故障导致电子服务系统或电子交易系统无法运行；</w:t>
            </w:r>
          </w:p>
          <w:p>
            <w:pPr>
              <w:spacing w:line="360" w:lineRule="auto"/>
              <w:jc w:val="left"/>
              <w:rPr>
                <w:rFonts w:cs="仿宋_GB2312" w:asciiTheme="minorEastAsia" w:hAnsiTheme="minorEastAsia" w:eastAsiaTheme="minorEastAsia"/>
                <w:bCs/>
                <w:snapToGrid w:val="0"/>
                <w:kern w:val="0"/>
                <w:sz w:val="21"/>
                <w:szCs w:val="21"/>
                <w:highlight w:val="none"/>
              </w:rPr>
            </w:pPr>
            <w:r>
              <w:rPr>
                <w:rFonts w:hint="eastAsia" w:cs="仿宋_GB2312" w:asciiTheme="minorEastAsia" w:hAnsiTheme="minorEastAsia" w:eastAsiaTheme="minorEastAsia"/>
                <w:bCs/>
                <w:snapToGrid w:val="0"/>
                <w:kern w:val="0"/>
                <w:sz w:val="21"/>
                <w:szCs w:val="21"/>
                <w:highlight w:val="none"/>
              </w:rPr>
              <w:t>（</w:t>
            </w:r>
            <w:r>
              <w:rPr>
                <w:rFonts w:cs="仿宋_GB2312" w:asciiTheme="minorEastAsia" w:hAnsiTheme="minorEastAsia" w:eastAsiaTheme="minorEastAsia"/>
                <w:bCs/>
                <w:snapToGrid w:val="0"/>
                <w:kern w:val="0"/>
                <w:sz w:val="21"/>
                <w:szCs w:val="21"/>
                <w:highlight w:val="none"/>
              </w:rPr>
              <w:t>3）出现网络攻击、病毒入侵以及电子服务系统或电子交易系统安全漏洞导致无法正常提供服务的；</w:t>
            </w:r>
          </w:p>
          <w:p>
            <w:pPr>
              <w:spacing w:line="360" w:lineRule="auto"/>
              <w:jc w:val="left"/>
              <w:rPr>
                <w:rFonts w:cs="仿宋_GB2312" w:asciiTheme="minorEastAsia" w:hAnsiTheme="minorEastAsia" w:eastAsiaTheme="minorEastAsia"/>
                <w:bCs/>
                <w:snapToGrid w:val="0"/>
                <w:kern w:val="0"/>
                <w:sz w:val="21"/>
                <w:szCs w:val="21"/>
                <w:highlight w:val="none"/>
              </w:rPr>
            </w:pPr>
            <w:r>
              <w:rPr>
                <w:rFonts w:hint="eastAsia" w:cs="仿宋_GB2312" w:asciiTheme="minorEastAsia" w:hAnsiTheme="minorEastAsia" w:eastAsiaTheme="minorEastAsia"/>
                <w:bCs/>
                <w:snapToGrid w:val="0"/>
                <w:kern w:val="0"/>
                <w:sz w:val="21"/>
                <w:szCs w:val="21"/>
                <w:highlight w:val="none"/>
              </w:rPr>
              <w:t>（</w:t>
            </w:r>
            <w:r>
              <w:rPr>
                <w:rFonts w:cs="仿宋_GB2312" w:asciiTheme="minorEastAsia" w:hAnsiTheme="minorEastAsia" w:eastAsiaTheme="minorEastAsia"/>
                <w:bCs/>
                <w:snapToGrid w:val="0"/>
                <w:kern w:val="0"/>
                <w:sz w:val="21"/>
                <w:szCs w:val="21"/>
                <w:highlight w:val="none"/>
              </w:rPr>
              <w:t>4）其他导致系统无法正常运行的情形。</w:t>
            </w:r>
          </w:p>
          <w:p>
            <w:pPr>
              <w:spacing w:line="360" w:lineRule="auto"/>
              <w:jc w:val="left"/>
              <w:rPr>
                <w:rFonts w:cs="仿宋_GB2312" w:asciiTheme="minorEastAsia" w:hAnsiTheme="minorEastAsia" w:eastAsiaTheme="minorEastAsia"/>
                <w:bCs/>
                <w:snapToGrid w:val="0"/>
                <w:kern w:val="0"/>
                <w:sz w:val="21"/>
                <w:szCs w:val="21"/>
                <w:highlight w:val="none"/>
              </w:rPr>
            </w:pPr>
            <w:r>
              <w:rPr>
                <w:rFonts w:cs="仿宋_GB2312" w:asciiTheme="minorEastAsia" w:hAnsiTheme="minorEastAsia" w:eastAsiaTheme="minorEastAsia"/>
                <w:bCs/>
                <w:snapToGrid w:val="0"/>
                <w:kern w:val="0"/>
                <w:sz w:val="21"/>
                <w:szCs w:val="21"/>
                <w:highlight w:val="none"/>
              </w:rPr>
              <w:t xml:space="preserve">10.8.2 </w:t>
            </w:r>
            <w:r>
              <w:rPr>
                <w:rFonts w:hint="eastAsia" w:cs="仿宋_GB2312" w:asciiTheme="minorEastAsia" w:hAnsiTheme="minorEastAsia" w:eastAsiaTheme="minorEastAsia"/>
                <w:bCs/>
                <w:snapToGrid w:val="0"/>
                <w:kern w:val="0"/>
                <w:sz w:val="21"/>
                <w:szCs w:val="21"/>
                <w:highlight w:val="none"/>
              </w:rPr>
              <w:t>处理流程</w:t>
            </w:r>
          </w:p>
          <w:p>
            <w:pPr>
              <w:spacing w:line="360" w:lineRule="auto"/>
              <w:ind w:firstLine="420" w:firstLineChars="200"/>
              <w:jc w:val="left"/>
              <w:rPr>
                <w:rFonts w:cs="仿宋_GB2312" w:asciiTheme="minorEastAsia" w:hAnsiTheme="minorEastAsia" w:eastAsiaTheme="minorEastAsia"/>
                <w:bCs/>
                <w:snapToGrid w:val="0"/>
                <w:kern w:val="0"/>
                <w:sz w:val="21"/>
                <w:szCs w:val="21"/>
                <w:highlight w:val="none"/>
              </w:rPr>
            </w:pPr>
            <w:r>
              <w:rPr>
                <w:rFonts w:hint="eastAsia" w:cs="仿宋_GB2312" w:asciiTheme="minorEastAsia" w:hAnsiTheme="minorEastAsia" w:eastAsiaTheme="minorEastAsia"/>
                <w:bCs/>
                <w:snapToGrid w:val="0"/>
                <w:kern w:val="0"/>
                <w:sz w:val="21"/>
                <w:szCs w:val="21"/>
                <w:highlight w:val="none"/>
              </w:rPr>
              <w:t>出现上述情形，系统建设方应及时组织相关方查明原因，排除故障。若能保证在开标前恢复系统运行的，招投标程序继续进行；若导致开评标程序无法按时开展，但能在原开标时间后</w:t>
            </w:r>
            <w:r>
              <w:rPr>
                <w:rFonts w:cs="仿宋_GB2312" w:asciiTheme="minorEastAsia" w:hAnsiTheme="minorEastAsia" w:eastAsiaTheme="minorEastAsia"/>
                <w:bCs/>
                <w:snapToGrid w:val="0"/>
                <w:kern w:val="0"/>
                <w:sz w:val="21"/>
                <w:szCs w:val="21"/>
                <w:highlight w:val="none"/>
              </w:rPr>
              <w:t>2小时内恢复系统运行的，招投标程序继续进行；</w:t>
            </w:r>
            <w:r>
              <w:rPr>
                <w:rFonts w:hint="eastAsia" w:cs="仿宋_GB2312" w:asciiTheme="minorEastAsia" w:hAnsiTheme="minorEastAsia" w:eastAsiaTheme="minorEastAsia"/>
                <w:bCs/>
                <w:snapToGrid w:val="0"/>
                <w:kern w:val="0"/>
                <w:sz w:val="21"/>
                <w:szCs w:val="21"/>
                <w:highlight w:val="none"/>
              </w:rPr>
              <w:t>若导致开评标程序无法按时开展，在原开标时间后</w:t>
            </w:r>
            <w:r>
              <w:rPr>
                <w:rFonts w:cs="仿宋_GB2312" w:asciiTheme="minorEastAsia" w:hAnsiTheme="minorEastAsia" w:eastAsiaTheme="minorEastAsia"/>
                <w:bCs/>
                <w:snapToGrid w:val="0"/>
                <w:kern w:val="0"/>
                <w:sz w:val="21"/>
                <w:szCs w:val="21"/>
                <w:highlight w:val="none"/>
              </w:rPr>
              <w:t>2小时内无法恢复系统运行的，按以下程序操作：</w:t>
            </w:r>
          </w:p>
          <w:p>
            <w:pPr>
              <w:spacing w:line="360" w:lineRule="auto"/>
              <w:jc w:val="left"/>
              <w:rPr>
                <w:rFonts w:cs="仿宋_GB2312" w:asciiTheme="minorEastAsia" w:hAnsiTheme="minorEastAsia" w:eastAsiaTheme="minorEastAsia"/>
                <w:bCs/>
                <w:snapToGrid w:val="0"/>
                <w:kern w:val="0"/>
                <w:sz w:val="21"/>
                <w:szCs w:val="21"/>
                <w:highlight w:val="none"/>
              </w:rPr>
            </w:pPr>
            <w:r>
              <w:rPr>
                <w:rFonts w:hint="eastAsia" w:cs="仿宋_GB2312" w:asciiTheme="minorEastAsia" w:hAnsiTheme="minorEastAsia" w:eastAsiaTheme="minorEastAsia"/>
                <w:bCs/>
                <w:snapToGrid w:val="0"/>
                <w:kern w:val="0"/>
                <w:sz w:val="21"/>
                <w:szCs w:val="21"/>
                <w:highlight w:val="none"/>
              </w:rPr>
              <w:t>（</w:t>
            </w:r>
            <w:r>
              <w:rPr>
                <w:rFonts w:cs="仿宋_GB2312" w:asciiTheme="minorEastAsia" w:hAnsiTheme="minorEastAsia" w:eastAsiaTheme="minorEastAsia"/>
                <w:bCs/>
                <w:snapToGrid w:val="0"/>
                <w:kern w:val="0"/>
                <w:sz w:val="21"/>
                <w:szCs w:val="21"/>
                <w:highlight w:val="none"/>
              </w:rPr>
              <w:t>1）项目中止，中止期限由招标人或招标代理机构根据项目具体情况确定。中止期限届满后中止情形尚未消除的，招标人或代理机构可以根据实际情况决定延长中止期限。决定延长中止期限的，应向投标人发出延长中止期限通知。</w:t>
            </w:r>
          </w:p>
          <w:p>
            <w:pPr>
              <w:spacing w:line="360" w:lineRule="auto"/>
              <w:jc w:val="left"/>
              <w:rPr>
                <w:rFonts w:cs="仿宋_GB2312" w:asciiTheme="minorEastAsia" w:hAnsiTheme="minorEastAsia" w:eastAsiaTheme="minorEastAsia"/>
                <w:bCs/>
                <w:snapToGrid w:val="0"/>
                <w:kern w:val="0"/>
                <w:sz w:val="21"/>
                <w:szCs w:val="21"/>
                <w:highlight w:val="none"/>
              </w:rPr>
            </w:pPr>
            <w:r>
              <w:rPr>
                <w:rFonts w:hint="eastAsia" w:cs="仿宋_GB2312" w:asciiTheme="minorEastAsia" w:hAnsiTheme="minorEastAsia" w:eastAsiaTheme="minorEastAsia"/>
                <w:bCs/>
                <w:snapToGrid w:val="0"/>
                <w:kern w:val="0"/>
                <w:sz w:val="21"/>
                <w:szCs w:val="21"/>
                <w:highlight w:val="none"/>
              </w:rPr>
              <w:t>（</w:t>
            </w:r>
            <w:r>
              <w:rPr>
                <w:rFonts w:cs="仿宋_GB2312" w:asciiTheme="minorEastAsia" w:hAnsiTheme="minorEastAsia" w:eastAsiaTheme="minorEastAsia"/>
                <w:bCs/>
                <w:snapToGrid w:val="0"/>
                <w:kern w:val="0"/>
                <w:sz w:val="21"/>
                <w:szCs w:val="21"/>
                <w:highlight w:val="none"/>
              </w:rPr>
              <w:t>2）项目恢复，导致项目中止的情形消除后，招标人或代理机构应当尽快恢复招投标程序，向投标人发出恢复交易通知；已发出延长中止期限通知的，按通知执行。</w:t>
            </w:r>
          </w:p>
          <w:p>
            <w:pPr>
              <w:spacing w:line="360" w:lineRule="auto"/>
              <w:rPr>
                <w:rFonts w:asciiTheme="minorEastAsia" w:hAnsiTheme="minorEastAsia" w:eastAsiaTheme="minorEastAsia"/>
                <w:color w:val="000000"/>
                <w:sz w:val="21"/>
                <w:szCs w:val="21"/>
                <w:highlight w:val="none"/>
              </w:rPr>
            </w:pPr>
            <w:r>
              <w:rPr>
                <w:rFonts w:hint="eastAsia" w:cs="仿宋_GB2312" w:asciiTheme="minorEastAsia" w:hAnsiTheme="minorEastAsia" w:eastAsiaTheme="minorEastAsia"/>
                <w:bCs/>
                <w:snapToGrid w:val="0"/>
                <w:kern w:val="0"/>
                <w:sz w:val="21"/>
                <w:szCs w:val="21"/>
                <w:highlight w:val="none"/>
              </w:rPr>
              <w:t>出现意外情况的应报招标监督管理机构。</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eastAsiaTheme="minorEastAsia"/>
                <w:color w:val="000000"/>
                <w:szCs w:val="21"/>
                <w:highlight w:val="none"/>
              </w:rPr>
            </w:pPr>
            <w:r>
              <w:rPr>
                <w:rFonts w:cs="仿宋_GB2312" w:asciiTheme="minorEastAsia" w:hAnsiTheme="minorEastAsia" w:eastAsiaTheme="minorEastAsia"/>
                <w:sz w:val="21"/>
                <w:szCs w:val="21"/>
                <w:highlight w:val="none"/>
              </w:rPr>
              <w:t>10.7</w:t>
            </w:r>
          </w:p>
        </w:tc>
        <w:tc>
          <w:tcPr>
            <w:tcW w:w="24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eastAsiaTheme="minorEastAsia"/>
                <w:szCs w:val="21"/>
                <w:highlight w:val="none"/>
              </w:rPr>
            </w:pPr>
            <w:r>
              <w:rPr>
                <w:rFonts w:hint="eastAsia" w:cs="仿宋_GB2312" w:asciiTheme="minorEastAsia" w:hAnsiTheme="minorEastAsia" w:eastAsiaTheme="minorEastAsia"/>
                <w:bCs/>
                <w:snapToGrid w:val="0"/>
                <w:kern w:val="0"/>
                <w:sz w:val="21"/>
                <w:szCs w:val="21"/>
                <w:highlight w:val="none"/>
              </w:rPr>
              <w:t>制作投标文件注意事项</w:t>
            </w:r>
          </w:p>
        </w:tc>
        <w:tc>
          <w:tcPr>
            <w:tcW w:w="567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cs="仿宋_GB2312" w:asciiTheme="minorEastAsia" w:hAnsiTheme="minorEastAsia" w:eastAsiaTheme="minorEastAsia"/>
                <w:bCs/>
                <w:snapToGrid w:val="0"/>
                <w:kern w:val="0"/>
                <w:sz w:val="21"/>
                <w:szCs w:val="21"/>
                <w:highlight w:val="none"/>
              </w:rPr>
            </w:pPr>
            <w:r>
              <w:rPr>
                <w:rFonts w:hint="eastAsia" w:cs="仿宋_GB2312" w:asciiTheme="minorEastAsia" w:hAnsiTheme="minorEastAsia" w:eastAsiaTheme="minorEastAsia"/>
                <w:bCs/>
                <w:snapToGrid w:val="0"/>
                <w:kern w:val="0"/>
                <w:sz w:val="21"/>
                <w:szCs w:val="21"/>
                <w:highlight w:val="none"/>
              </w:rPr>
              <w:t>（</w:t>
            </w:r>
            <w:r>
              <w:rPr>
                <w:rFonts w:cs="仿宋_GB2312" w:asciiTheme="minorEastAsia" w:hAnsiTheme="minorEastAsia" w:eastAsiaTheme="minorEastAsia"/>
                <w:bCs/>
                <w:snapToGrid w:val="0"/>
                <w:kern w:val="0"/>
                <w:sz w:val="21"/>
                <w:szCs w:val="21"/>
                <w:highlight w:val="none"/>
              </w:rPr>
              <w:t>1）制作投标文件前，必须及时升级电子投标文件制作软件至最新版本。投标人如未及时更新电子投标文件制作软件，产生的一切后果由投标人自行承担。</w:t>
            </w:r>
          </w:p>
          <w:p>
            <w:pPr>
              <w:spacing w:line="360" w:lineRule="auto"/>
              <w:rPr>
                <w:rFonts w:asciiTheme="minorEastAsia" w:hAnsiTheme="minorEastAsia" w:eastAsiaTheme="minorEastAsia"/>
                <w:color w:val="000000"/>
                <w:sz w:val="21"/>
                <w:szCs w:val="21"/>
                <w:highlight w:val="none"/>
              </w:rPr>
            </w:pPr>
            <w:r>
              <w:rPr>
                <w:rFonts w:hint="eastAsia" w:cs="仿宋_GB2312" w:asciiTheme="minorEastAsia" w:hAnsiTheme="minorEastAsia" w:eastAsiaTheme="minorEastAsia"/>
                <w:bCs/>
                <w:snapToGrid w:val="0"/>
                <w:kern w:val="0"/>
                <w:sz w:val="21"/>
                <w:szCs w:val="21"/>
                <w:highlight w:val="none"/>
              </w:rPr>
              <w:t>（</w:t>
            </w:r>
            <w:r>
              <w:rPr>
                <w:rFonts w:cs="仿宋_GB2312" w:asciiTheme="minorEastAsia" w:hAnsiTheme="minorEastAsia" w:eastAsiaTheme="minorEastAsia"/>
                <w:bCs/>
                <w:snapToGrid w:val="0"/>
                <w:kern w:val="0"/>
                <w:sz w:val="21"/>
                <w:szCs w:val="21"/>
                <w:highlight w:val="none"/>
              </w:rPr>
              <w:t>2）在使用过程中如有技术问题，</w:t>
            </w:r>
            <w:r>
              <w:rPr>
                <w:rFonts w:hint="eastAsia" w:cs="仿宋_GB2312" w:asciiTheme="minorEastAsia" w:hAnsiTheme="minorEastAsia" w:eastAsiaTheme="minorEastAsia"/>
                <w:b/>
                <w:bCs/>
                <w:snapToGrid w:val="0"/>
                <w:kern w:val="0"/>
                <w:sz w:val="21"/>
                <w:szCs w:val="21"/>
                <w:highlight w:val="none"/>
              </w:rPr>
              <w:t>请致电</w:t>
            </w:r>
            <w:r>
              <w:rPr>
                <w:rFonts w:hint="eastAsia" w:cs="仿宋_GB2312" w:asciiTheme="minorEastAsia" w:hAnsiTheme="minorEastAsia" w:eastAsiaTheme="minorEastAsia"/>
                <w:b/>
                <w:bCs/>
                <w:snapToGrid w:val="0"/>
                <w:kern w:val="0"/>
                <w:sz w:val="21"/>
                <w:szCs w:val="21"/>
                <w:highlight w:val="none"/>
                <w:u w:val="single"/>
              </w:rPr>
              <w:t>电子交易系统服务电话（非项目咨询）：</w:t>
            </w:r>
            <w:r>
              <w:rPr>
                <w:rFonts w:cs="仿宋_GB2312" w:asciiTheme="minorEastAsia" w:hAnsiTheme="minorEastAsia" w:eastAsiaTheme="minorEastAsia"/>
                <w:b/>
                <w:bCs/>
                <w:snapToGrid w:val="0"/>
                <w:kern w:val="0"/>
                <w:sz w:val="21"/>
                <w:szCs w:val="21"/>
                <w:highlight w:val="none"/>
                <w:u w:val="single"/>
              </w:rPr>
              <w:t xml:space="preserve">         </w:t>
            </w:r>
            <w:r>
              <w:rPr>
                <w:rFonts w:hint="eastAsia" w:cs="仿宋_GB2312" w:asciiTheme="minorEastAsia" w:hAnsiTheme="minorEastAsia" w:eastAsiaTheme="minorEastAsia"/>
                <w:b/>
                <w:bCs/>
                <w:snapToGrid w:val="0"/>
                <w:kern w:val="0"/>
                <w:sz w:val="21"/>
                <w:szCs w:val="21"/>
                <w:highlight w:val="none"/>
              </w:rPr>
              <w:t>。</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eastAsiaTheme="minorEastAsia"/>
                <w:color w:val="000000"/>
                <w:szCs w:val="21"/>
                <w:highlight w:val="none"/>
              </w:rPr>
            </w:pPr>
            <w:r>
              <w:rPr>
                <w:rFonts w:cs="仿宋_GB2312" w:asciiTheme="minorEastAsia" w:hAnsiTheme="minorEastAsia" w:eastAsiaTheme="minorEastAsia"/>
                <w:sz w:val="21"/>
                <w:szCs w:val="21"/>
                <w:highlight w:val="none"/>
              </w:rPr>
              <w:t>10.8</w:t>
            </w:r>
          </w:p>
        </w:tc>
        <w:tc>
          <w:tcPr>
            <w:tcW w:w="24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eastAsiaTheme="minorEastAsia"/>
                <w:szCs w:val="21"/>
                <w:highlight w:val="none"/>
              </w:rPr>
            </w:pPr>
            <w:r>
              <w:rPr>
                <w:rFonts w:hint="eastAsia" w:cs="仿宋_GB2312" w:asciiTheme="minorEastAsia" w:hAnsiTheme="minorEastAsia" w:eastAsiaTheme="minorEastAsia"/>
                <w:bCs/>
                <w:snapToGrid w:val="0"/>
                <w:kern w:val="0"/>
                <w:sz w:val="21"/>
                <w:szCs w:val="21"/>
                <w:highlight w:val="none"/>
              </w:rPr>
              <w:t>评标过程中的澄清和补正</w:t>
            </w:r>
          </w:p>
        </w:tc>
        <w:tc>
          <w:tcPr>
            <w:tcW w:w="567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cs="仿宋_GB2312" w:asciiTheme="minorEastAsia" w:hAnsiTheme="minorEastAsia" w:eastAsiaTheme="minorEastAsia"/>
                <w:bCs/>
                <w:snapToGrid w:val="0"/>
                <w:kern w:val="0"/>
                <w:sz w:val="21"/>
                <w:szCs w:val="21"/>
                <w:highlight w:val="none"/>
              </w:rPr>
            </w:pPr>
            <w:r>
              <w:rPr>
                <w:rFonts w:hint="eastAsia" w:cs="仿宋_GB2312" w:asciiTheme="minorEastAsia" w:hAnsiTheme="minorEastAsia" w:eastAsiaTheme="minorEastAsia"/>
                <w:bCs/>
                <w:snapToGrid w:val="0"/>
                <w:kern w:val="0"/>
                <w:sz w:val="21"/>
                <w:szCs w:val="21"/>
                <w:highlight w:val="none"/>
              </w:rPr>
              <w:t>（</w:t>
            </w:r>
            <w:r>
              <w:rPr>
                <w:rFonts w:cs="仿宋_GB2312" w:asciiTheme="minorEastAsia" w:hAnsiTheme="minorEastAsia" w:eastAsiaTheme="minorEastAsia"/>
                <w:bCs/>
                <w:snapToGrid w:val="0"/>
                <w:kern w:val="0"/>
                <w:sz w:val="21"/>
                <w:szCs w:val="21"/>
                <w:highlight w:val="none"/>
              </w:rPr>
              <w:t>1）评标委员会通过电子交易系统将需要澄清、说明或补正的内容以询标函的形式发送给投标人，投标人应登录电子交易系统并保持在线状态，以便及时接收评标委员会可能发出的询标函。</w:t>
            </w:r>
          </w:p>
          <w:p>
            <w:pPr>
              <w:spacing w:line="360" w:lineRule="auto"/>
              <w:rPr>
                <w:rFonts w:asciiTheme="minorEastAsia" w:hAnsiTheme="minorEastAsia" w:eastAsiaTheme="minorEastAsia"/>
                <w:color w:val="000000"/>
                <w:sz w:val="21"/>
                <w:szCs w:val="21"/>
                <w:highlight w:val="none"/>
              </w:rPr>
            </w:pPr>
            <w:r>
              <w:rPr>
                <w:rFonts w:hint="eastAsia" w:cs="仿宋_GB2312" w:asciiTheme="minorEastAsia" w:hAnsiTheme="minorEastAsia" w:eastAsiaTheme="minorEastAsia"/>
                <w:bCs/>
                <w:snapToGrid w:val="0"/>
                <w:kern w:val="0"/>
                <w:sz w:val="21"/>
                <w:szCs w:val="21"/>
                <w:highlight w:val="none"/>
              </w:rPr>
              <w:t>（</w:t>
            </w:r>
            <w:r>
              <w:rPr>
                <w:rFonts w:cs="仿宋_GB2312" w:asciiTheme="minorEastAsia" w:hAnsiTheme="minorEastAsia" w:eastAsiaTheme="minorEastAsia"/>
                <w:bCs/>
                <w:snapToGrid w:val="0"/>
                <w:kern w:val="0"/>
                <w:sz w:val="21"/>
                <w:szCs w:val="21"/>
                <w:highlight w:val="none"/>
              </w:rPr>
              <w:t>2）因投标人未登录电子交易系统导致无法及时接收询标函（远程网上询标）或未在评标委员会规定的时间内（以网上询标系统所示时间为准）按要求进行澄清、说明或补正内容的视同投标人放弃澄清、说明或补正，评标委员会可按对投标人不利的解释进行判定。</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仿宋_GB2312" w:asciiTheme="minorEastAsia" w:hAnsiTheme="minorEastAsia" w:eastAsiaTheme="minorEastAsia"/>
                <w:sz w:val="21"/>
                <w:szCs w:val="21"/>
                <w:highlight w:val="none"/>
              </w:rPr>
            </w:pPr>
            <w:r>
              <w:rPr>
                <w:rFonts w:asciiTheme="minorEastAsia" w:hAnsiTheme="minorEastAsia" w:eastAsiaTheme="minorEastAsia"/>
                <w:color w:val="000000"/>
                <w:szCs w:val="21"/>
                <w:highlight w:val="none"/>
              </w:rPr>
              <w:t>……</w:t>
            </w:r>
          </w:p>
        </w:tc>
        <w:tc>
          <w:tcPr>
            <w:tcW w:w="24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仿宋_GB2312" w:asciiTheme="minorEastAsia" w:hAnsiTheme="minorEastAsia" w:eastAsiaTheme="minorEastAsia"/>
                <w:bCs/>
                <w:snapToGrid w:val="0"/>
                <w:kern w:val="0"/>
                <w:sz w:val="21"/>
                <w:szCs w:val="21"/>
                <w:highlight w:val="none"/>
              </w:rPr>
            </w:pPr>
          </w:p>
        </w:tc>
        <w:tc>
          <w:tcPr>
            <w:tcW w:w="567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cs="仿宋_GB2312" w:asciiTheme="minorEastAsia" w:hAnsiTheme="minorEastAsia" w:eastAsiaTheme="minorEastAsia"/>
                <w:bCs/>
                <w:snapToGrid w:val="0"/>
                <w:kern w:val="0"/>
                <w:sz w:val="21"/>
                <w:szCs w:val="21"/>
                <w:highlight w:val="none"/>
              </w:rPr>
            </w:pPr>
            <w:r>
              <w:rPr>
                <w:rFonts w:asciiTheme="minorEastAsia" w:hAnsiTheme="minorEastAsia" w:eastAsiaTheme="minorEastAsia"/>
                <w:color w:val="000000"/>
                <w:szCs w:val="21"/>
                <w:highlight w:val="none"/>
              </w:rPr>
              <w:t>……</w:t>
            </w:r>
          </w:p>
        </w:tc>
      </w:tr>
    </w:tbl>
    <w:p>
      <w:pPr>
        <w:spacing w:line="400" w:lineRule="exact"/>
        <w:rPr>
          <w:rFonts w:ascii="Times New Roman" w:hAnsi="Times New Roman"/>
          <w:color w:val="000000"/>
          <w:highlight w:val="none"/>
        </w:rPr>
      </w:pPr>
      <w:r>
        <w:rPr>
          <w:rFonts w:ascii="Times New Roman" w:hAnsi="Times New Roman"/>
          <w:color w:val="000000"/>
          <w:highlight w:val="none"/>
        </w:rPr>
        <w:br w:type="page"/>
      </w:r>
    </w:p>
    <w:p>
      <w:pPr>
        <w:pStyle w:val="3"/>
        <w:rPr>
          <w:rFonts w:ascii="Times New Roman" w:hAnsi="Times New Roman"/>
          <w:color w:val="000000"/>
          <w:highlight w:val="none"/>
        </w:rPr>
      </w:pPr>
      <w:bookmarkStart w:id="119" w:name="_Toc1543113962"/>
      <w:r>
        <w:rPr>
          <w:rFonts w:ascii="Times New Roman" w:hAnsi="Times New Roman"/>
          <w:color w:val="000000"/>
          <w:highlight w:val="none"/>
        </w:rPr>
        <w:t>1. 总则</w:t>
      </w:r>
      <w:bookmarkEnd w:id="119"/>
    </w:p>
    <w:p>
      <w:pPr>
        <w:pStyle w:val="4"/>
        <w:spacing w:line="240" w:lineRule="auto"/>
        <w:ind w:firstLine="137"/>
        <w:rPr>
          <w:rFonts w:ascii="Times New Roman" w:hAnsi="Times New Roman"/>
          <w:color w:val="000000"/>
          <w:highlight w:val="none"/>
        </w:rPr>
      </w:pPr>
      <w:bookmarkStart w:id="120" w:name="_Toc980192217"/>
      <w:r>
        <w:rPr>
          <w:rFonts w:ascii="Times New Roman" w:hAnsi="Times New Roman"/>
          <w:color w:val="000000"/>
          <w:highlight w:val="none"/>
        </w:rPr>
        <w:t>1.1 招标项目概况</w:t>
      </w:r>
      <w:bookmarkEnd w:id="120"/>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1.1.1 根据《中华人民共和国招标投标法》《中华人民共和国招标投标法实施条例》等有关法律、法规和规章的规定，本招标项目已具备招标条件，现对材料采购进行招标。</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1.1.2 招标人：见投标人须知前附表。</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1.1.3 招标代理机构：见投标人须知前附表。</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1.1.4招标项目名称：见投标人须知前附表。</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1.1.5工程项目名称：即招标项目所属的工程建设项目，见投标人须知前附表。</w:t>
      </w:r>
    </w:p>
    <w:p>
      <w:pPr>
        <w:pStyle w:val="4"/>
        <w:spacing w:line="240" w:lineRule="auto"/>
        <w:ind w:firstLine="137"/>
        <w:rPr>
          <w:rFonts w:ascii="Times New Roman" w:hAnsi="Times New Roman"/>
          <w:color w:val="000000"/>
          <w:highlight w:val="none"/>
        </w:rPr>
      </w:pPr>
      <w:bookmarkStart w:id="121" w:name="_Toc824244513"/>
      <w:r>
        <w:rPr>
          <w:rFonts w:ascii="Times New Roman" w:hAnsi="Times New Roman"/>
          <w:color w:val="000000"/>
          <w:highlight w:val="none"/>
        </w:rPr>
        <w:t>1.2 招标项目的资金来源和落实情况</w:t>
      </w:r>
      <w:bookmarkEnd w:id="121"/>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1.2.1 资金来源及比例：见投标人须知前附表。</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1.2.2 资金落实情况：见投标人须知前附表。</w:t>
      </w:r>
    </w:p>
    <w:p>
      <w:pPr>
        <w:pStyle w:val="4"/>
        <w:spacing w:line="240" w:lineRule="auto"/>
        <w:ind w:firstLine="137"/>
        <w:rPr>
          <w:rFonts w:ascii="Times New Roman" w:hAnsi="Times New Roman"/>
          <w:color w:val="000000"/>
          <w:highlight w:val="none"/>
        </w:rPr>
      </w:pPr>
      <w:bookmarkStart w:id="122" w:name="_Toc226859217"/>
      <w:r>
        <w:rPr>
          <w:rFonts w:ascii="Times New Roman" w:hAnsi="Times New Roman"/>
          <w:color w:val="000000"/>
          <w:highlight w:val="none"/>
        </w:rPr>
        <w:t>1.3招标范围、交货期、交货地点和质量标准</w:t>
      </w:r>
      <w:bookmarkEnd w:id="122"/>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1.3.1 招标范围：见投标人须知前附表。</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1.3.2 交货期：见投标人须知前附表。</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1.3.3 交货地点：见投标人须知前附表。</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1.3.4 质量标准：见投标人须知前附表。</w:t>
      </w:r>
    </w:p>
    <w:p>
      <w:pPr>
        <w:pStyle w:val="4"/>
        <w:spacing w:line="240" w:lineRule="auto"/>
        <w:ind w:firstLine="137"/>
        <w:rPr>
          <w:rFonts w:ascii="Times New Roman" w:hAnsi="Times New Roman"/>
          <w:color w:val="000000"/>
          <w:highlight w:val="none"/>
        </w:rPr>
      </w:pPr>
      <w:bookmarkStart w:id="123" w:name="_Toc1151987302"/>
      <w:r>
        <w:rPr>
          <w:rFonts w:ascii="Times New Roman" w:hAnsi="Times New Roman"/>
          <w:color w:val="000000"/>
          <w:highlight w:val="none"/>
        </w:rPr>
        <w:t>1.4 投标人资格要求</w:t>
      </w:r>
      <w:bookmarkEnd w:id="123"/>
    </w:p>
    <w:p>
      <w:pPr>
        <w:spacing w:line="400" w:lineRule="exact"/>
        <w:ind w:firstLine="420" w:firstLineChars="200"/>
        <w:rPr>
          <w:rFonts w:ascii="Times New Roman" w:hAnsi="Times New Roman"/>
          <w:highlight w:val="none"/>
        </w:rPr>
      </w:pPr>
      <w:r>
        <w:rPr>
          <w:rFonts w:ascii="Times New Roman" w:hAnsi="Times New Roman"/>
          <w:color w:val="000000"/>
          <w:highlight w:val="none"/>
        </w:rPr>
        <w:t>1.4.1</w:t>
      </w:r>
      <w:r>
        <w:rPr>
          <w:rFonts w:hint="eastAsia" w:ascii="Times New Roman" w:hAnsi="Times New Roman"/>
          <w:color w:val="000000"/>
          <w:highlight w:val="none"/>
        </w:rPr>
        <w:t xml:space="preserve"> </w:t>
      </w:r>
      <w:r>
        <w:rPr>
          <w:rFonts w:ascii="Times New Roman" w:hAnsi="Times New Roman"/>
          <w:color w:val="000000"/>
          <w:highlight w:val="none"/>
        </w:rPr>
        <w:t>投标人应具备承担本招标项目</w:t>
      </w:r>
      <w:r>
        <w:rPr>
          <w:rFonts w:hint="eastAsia" w:ascii="Times New Roman" w:hAnsi="Times New Roman"/>
          <w:color w:val="000000"/>
          <w:highlight w:val="none"/>
        </w:rPr>
        <w:t>的</w:t>
      </w:r>
      <w:r>
        <w:rPr>
          <w:rFonts w:ascii="Times New Roman" w:hAnsi="Times New Roman"/>
          <w:color w:val="000000"/>
          <w:highlight w:val="none"/>
        </w:rPr>
        <w:t>资质条件、能力和信誉</w:t>
      </w:r>
      <w:r>
        <w:rPr>
          <w:rFonts w:ascii="Times New Roman" w:hAnsi="Times New Roman"/>
          <w:highlight w:val="none"/>
        </w:rPr>
        <w:t>：</w:t>
      </w:r>
    </w:p>
    <w:p>
      <w:pPr>
        <w:spacing w:line="400" w:lineRule="exact"/>
        <w:ind w:firstLine="315" w:firstLineChars="150"/>
        <w:rPr>
          <w:rFonts w:ascii="Times New Roman" w:hAnsi="Times New Roman"/>
          <w:color w:val="000000"/>
          <w:highlight w:val="none"/>
        </w:rPr>
      </w:pPr>
      <w:r>
        <w:rPr>
          <w:rFonts w:ascii="Times New Roman" w:hAnsi="Times New Roman"/>
          <w:color w:val="000000"/>
          <w:highlight w:val="none"/>
        </w:rPr>
        <w:t>（1）资质要求：见投标人须知前附表；</w:t>
      </w:r>
    </w:p>
    <w:p>
      <w:pPr>
        <w:spacing w:line="400" w:lineRule="exact"/>
        <w:ind w:firstLine="315" w:firstLineChars="150"/>
        <w:rPr>
          <w:rFonts w:ascii="Times New Roman" w:hAnsi="Times New Roman"/>
          <w:color w:val="000000"/>
          <w:highlight w:val="none"/>
        </w:rPr>
      </w:pPr>
      <w:r>
        <w:rPr>
          <w:rFonts w:ascii="Times New Roman" w:hAnsi="Times New Roman"/>
          <w:color w:val="000000"/>
          <w:highlight w:val="none"/>
        </w:rPr>
        <w:t>（2）</w:t>
      </w:r>
      <w:r>
        <w:rPr>
          <w:rFonts w:ascii="Times New Roman" w:hAnsi="Times New Roman"/>
          <w:highlight w:val="none"/>
        </w:rPr>
        <w:t>财务</w:t>
      </w:r>
      <w:r>
        <w:rPr>
          <w:rFonts w:ascii="Times New Roman" w:hAnsi="Times New Roman"/>
          <w:color w:val="000000"/>
          <w:highlight w:val="none"/>
        </w:rPr>
        <w:t>要求：见投标人须知前附表；</w:t>
      </w:r>
    </w:p>
    <w:p>
      <w:pPr>
        <w:spacing w:line="400" w:lineRule="exact"/>
        <w:ind w:firstLine="315" w:firstLineChars="150"/>
        <w:rPr>
          <w:rFonts w:ascii="Times New Roman" w:hAnsi="Times New Roman"/>
          <w:highlight w:val="none"/>
        </w:rPr>
      </w:pPr>
      <w:r>
        <w:rPr>
          <w:rFonts w:ascii="Times New Roman" w:hAnsi="Times New Roman"/>
          <w:highlight w:val="none"/>
        </w:rPr>
        <w:t>（3）业绩要求：见投标人须知前附表；</w:t>
      </w:r>
    </w:p>
    <w:p>
      <w:pPr>
        <w:spacing w:line="400" w:lineRule="exact"/>
        <w:ind w:firstLine="315" w:firstLineChars="150"/>
        <w:rPr>
          <w:rFonts w:ascii="Times New Roman" w:hAnsi="Times New Roman"/>
          <w:highlight w:val="none"/>
        </w:rPr>
      </w:pPr>
      <w:r>
        <w:rPr>
          <w:rFonts w:ascii="Times New Roman" w:hAnsi="Times New Roman"/>
          <w:highlight w:val="none"/>
        </w:rPr>
        <w:t>（4）信誉要求：见投标人须知前附表；</w:t>
      </w:r>
    </w:p>
    <w:p>
      <w:pPr>
        <w:spacing w:line="400" w:lineRule="exact"/>
        <w:ind w:firstLine="315" w:firstLineChars="150"/>
        <w:rPr>
          <w:rFonts w:ascii="Times New Roman" w:hAnsi="Times New Roman"/>
          <w:highlight w:val="none"/>
        </w:rPr>
      </w:pPr>
      <w:r>
        <w:rPr>
          <w:rFonts w:ascii="Times New Roman" w:hAnsi="Times New Roman"/>
          <w:highlight w:val="none"/>
        </w:rPr>
        <w:t>（5）其他要求：见投标人须知前附表</w:t>
      </w:r>
      <w:r>
        <w:rPr>
          <w:rFonts w:hint="eastAsia" w:ascii="Times New Roman" w:hAnsi="Times New Roman"/>
          <w:highlight w:val="none"/>
        </w:rPr>
        <w:t>。</w:t>
      </w:r>
    </w:p>
    <w:p>
      <w:pPr>
        <w:spacing w:line="400" w:lineRule="exact"/>
        <w:ind w:firstLine="420" w:firstLineChars="200"/>
        <w:rPr>
          <w:rFonts w:ascii="Times New Roman" w:hAnsi="Times New Roman"/>
          <w:highlight w:val="none"/>
        </w:rPr>
      </w:pPr>
      <w:r>
        <w:rPr>
          <w:rFonts w:ascii="Times New Roman" w:hAnsi="Times New Roman"/>
          <w:highlight w:val="none"/>
        </w:rPr>
        <w:t>投标人为代理经销商的，对投标人的资质要求包含对制造商的资质要求，对投标人的业绩要求包含对投标材料的业绩要求。</w:t>
      </w:r>
    </w:p>
    <w:p>
      <w:pPr>
        <w:spacing w:line="400" w:lineRule="exact"/>
        <w:ind w:firstLine="420" w:firstLineChars="200"/>
        <w:rPr>
          <w:rFonts w:ascii="Times New Roman" w:hAnsi="Times New Roman"/>
          <w:highlight w:val="none"/>
        </w:rPr>
      </w:pPr>
      <w:r>
        <w:rPr>
          <w:rFonts w:ascii="Times New Roman" w:hAnsi="Times New Roman"/>
          <w:highlight w:val="none"/>
        </w:rPr>
        <w:t>需要提交的相关证明材料见本章第3.5款的规定。</w:t>
      </w:r>
    </w:p>
    <w:p>
      <w:pPr>
        <w:spacing w:line="400" w:lineRule="exact"/>
        <w:ind w:firstLine="420" w:firstLineChars="200"/>
        <w:rPr>
          <w:rFonts w:ascii="Times New Roman" w:hAnsi="Times New Roman"/>
          <w:color w:val="000000"/>
          <w:highlight w:val="none"/>
        </w:rPr>
      </w:pPr>
      <w:r>
        <w:rPr>
          <w:rFonts w:ascii="Times New Roman" w:hAnsi="Times New Roman"/>
          <w:highlight w:val="none"/>
        </w:rPr>
        <w:t>1.4.2 投标人须知前附表规定接受联合体投标的，</w:t>
      </w:r>
      <w:r>
        <w:rPr>
          <w:rFonts w:ascii="Times New Roman" w:hAnsi="Times New Roman"/>
          <w:color w:val="000000"/>
          <w:highlight w:val="none"/>
        </w:rPr>
        <w:t>联合体除应符合本章第1.4.1项和投标人须知前附表的要求外，还应遵守以下规定：</w:t>
      </w:r>
    </w:p>
    <w:p>
      <w:pPr>
        <w:spacing w:line="400" w:lineRule="exact"/>
        <w:ind w:firstLine="315" w:firstLineChars="150"/>
        <w:rPr>
          <w:rFonts w:ascii="Times New Roman" w:hAnsi="Times New Roman"/>
          <w:highlight w:val="none"/>
        </w:rPr>
      </w:pPr>
      <w:r>
        <w:rPr>
          <w:rFonts w:ascii="Times New Roman" w:hAnsi="Times New Roman"/>
          <w:highlight w:val="none"/>
        </w:rPr>
        <w:t>（1）联合体各方应按招标文件提供的格式签订联合体协议书，明确联合体牵头人和各方权利义务，并承诺就中标项目向招标人承担连带责任；</w:t>
      </w:r>
    </w:p>
    <w:p>
      <w:pPr>
        <w:spacing w:line="400" w:lineRule="exact"/>
        <w:ind w:firstLine="315" w:firstLineChars="150"/>
        <w:rPr>
          <w:rFonts w:ascii="Times New Roman" w:hAnsi="Times New Roman"/>
          <w:highlight w:val="none"/>
        </w:rPr>
      </w:pPr>
      <w:r>
        <w:rPr>
          <w:rFonts w:ascii="Times New Roman" w:hAnsi="Times New Roman"/>
          <w:highlight w:val="none"/>
        </w:rPr>
        <w:t>（2）由同一专业的单位组成的联合体，按照资质等级较低的单位确定资质等级；</w:t>
      </w:r>
    </w:p>
    <w:p>
      <w:pPr>
        <w:spacing w:line="400" w:lineRule="exact"/>
        <w:ind w:firstLine="315" w:firstLineChars="150"/>
        <w:rPr>
          <w:rFonts w:ascii="Times New Roman" w:hAnsi="Times New Roman"/>
          <w:highlight w:val="none"/>
        </w:rPr>
      </w:pPr>
      <w:r>
        <w:rPr>
          <w:rFonts w:ascii="Times New Roman" w:hAnsi="Times New Roman"/>
          <w:highlight w:val="none"/>
        </w:rPr>
        <w:t>（3）联合体各方不得再以自己名义单独或参加其他联合体在本招标项目中投标，否则各相关投标均无效。</w:t>
      </w:r>
    </w:p>
    <w:p>
      <w:pPr>
        <w:spacing w:line="400" w:lineRule="exact"/>
        <w:ind w:firstLine="420" w:firstLineChars="200"/>
        <w:rPr>
          <w:rFonts w:ascii="Times New Roman" w:hAnsi="Times New Roman"/>
          <w:color w:val="000000"/>
          <w:szCs w:val="21"/>
          <w:highlight w:val="none"/>
        </w:rPr>
      </w:pPr>
      <w:r>
        <w:rPr>
          <w:rFonts w:ascii="Times New Roman" w:hAnsi="Times New Roman"/>
          <w:color w:val="000000"/>
          <w:szCs w:val="21"/>
          <w:highlight w:val="none"/>
        </w:rPr>
        <w:t>1.4.3 投标人不得存在下列情形之一：</w:t>
      </w:r>
    </w:p>
    <w:p>
      <w:pPr>
        <w:spacing w:line="400" w:lineRule="exact"/>
        <w:ind w:firstLine="420" w:firstLineChars="200"/>
        <w:rPr>
          <w:rFonts w:ascii="Times New Roman" w:hAnsi="Times New Roman"/>
          <w:color w:val="000000"/>
          <w:szCs w:val="21"/>
          <w:highlight w:val="none"/>
        </w:rPr>
      </w:pPr>
      <w:r>
        <w:rPr>
          <w:rFonts w:ascii="Times New Roman" w:hAnsi="Times New Roman"/>
          <w:color w:val="000000"/>
          <w:szCs w:val="21"/>
          <w:highlight w:val="none"/>
        </w:rPr>
        <w:t>（1）与招标人存在利害关系且可能影响招标公正性；</w:t>
      </w:r>
    </w:p>
    <w:p>
      <w:pPr>
        <w:spacing w:line="400" w:lineRule="exact"/>
        <w:ind w:firstLine="420" w:firstLineChars="200"/>
        <w:rPr>
          <w:rFonts w:ascii="Times New Roman" w:hAnsi="Times New Roman"/>
          <w:color w:val="000000"/>
          <w:szCs w:val="21"/>
          <w:highlight w:val="none"/>
        </w:rPr>
      </w:pPr>
      <w:r>
        <w:rPr>
          <w:rFonts w:ascii="Times New Roman" w:hAnsi="Times New Roman"/>
          <w:color w:val="000000"/>
          <w:szCs w:val="21"/>
          <w:highlight w:val="none"/>
        </w:rPr>
        <w:t>（2）与本招标项目的其他投标人为同一个单位负责人；</w:t>
      </w:r>
    </w:p>
    <w:p>
      <w:pPr>
        <w:spacing w:line="400" w:lineRule="exact"/>
        <w:ind w:firstLine="420" w:firstLineChars="200"/>
        <w:rPr>
          <w:rFonts w:ascii="Times New Roman" w:hAnsi="Times New Roman"/>
          <w:color w:val="000000"/>
          <w:szCs w:val="21"/>
          <w:highlight w:val="none"/>
        </w:rPr>
      </w:pPr>
      <w:r>
        <w:rPr>
          <w:rFonts w:ascii="Times New Roman" w:hAnsi="Times New Roman"/>
          <w:color w:val="000000"/>
          <w:szCs w:val="21"/>
          <w:highlight w:val="none"/>
        </w:rPr>
        <w:t>（3）与本招标项目的其他投标人存在控股、管理关系；</w:t>
      </w:r>
    </w:p>
    <w:p>
      <w:pPr>
        <w:spacing w:line="400" w:lineRule="exact"/>
        <w:ind w:firstLine="420" w:firstLineChars="200"/>
        <w:rPr>
          <w:rFonts w:ascii="Times New Roman" w:hAnsi="Times New Roman"/>
          <w:color w:val="000000"/>
          <w:szCs w:val="21"/>
          <w:highlight w:val="none"/>
        </w:rPr>
      </w:pPr>
      <w:r>
        <w:rPr>
          <w:rFonts w:ascii="Times New Roman" w:hAnsi="Times New Roman"/>
          <w:color w:val="000000"/>
          <w:szCs w:val="21"/>
          <w:highlight w:val="none"/>
        </w:rPr>
        <w:t>（4）与本招标项目其他投标人代理同一个制造商同一品牌同一型号的材料投标；</w:t>
      </w:r>
    </w:p>
    <w:p>
      <w:pPr>
        <w:spacing w:line="400" w:lineRule="exact"/>
        <w:ind w:firstLine="420" w:firstLineChars="200"/>
        <w:rPr>
          <w:rFonts w:ascii="Times New Roman" w:hAnsi="Times New Roman"/>
          <w:color w:val="000000"/>
          <w:szCs w:val="21"/>
          <w:highlight w:val="none"/>
        </w:rPr>
      </w:pPr>
      <w:r>
        <w:rPr>
          <w:rFonts w:ascii="Times New Roman" w:hAnsi="Times New Roman"/>
          <w:color w:val="000000"/>
          <w:szCs w:val="21"/>
          <w:highlight w:val="none"/>
        </w:rPr>
        <w:t>（5）为本招标项目提供过设计、编制技术规范和其他文件的咨询服务；</w:t>
      </w:r>
    </w:p>
    <w:p>
      <w:pPr>
        <w:spacing w:line="400" w:lineRule="exact"/>
        <w:ind w:firstLine="420" w:firstLineChars="200"/>
        <w:rPr>
          <w:rFonts w:ascii="Times New Roman" w:hAnsi="Times New Roman"/>
          <w:color w:val="000000"/>
          <w:szCs w:val="21"/>
          <w:highlight w:val="none"/>
        </w:rPr>
      </w:pPr>
      <w:r>
        <w:rPr>
          <w:rFonts w:ascii="Times New Roman" w:hAnsi="Times New Roman"/>
          <w:color w:val="000000"/>
          <w:szCs w:val="21"/>
          <w:highlight w:val="none"/>
        </w:rPr>
        <w:t>（6）为本工程项目的监理人，或者与本工程项目的监理人存在隶属关系或者其他利害关系；</w:t>
      </w:r>
    </w:p>
    <w:p>
      <w:pPr>
        <w:spacing w:line="400" w:lineRule="exact"/>
        <w:ind w:firstLine="420" w:firstLineChars="200"/>
        <w:rPr>
          <w:rFonts w:ascii="Times New Roman" w:hAnsi="Times New Roman"/>
          <w:color w:val="000000"/>
          <w:szCs w:val="21"/>
          <w:highlight w:val="none"/>
        </w:rPr>
      </w:pPr>
      <w:r>
        <w:rPr>
          <w:rFonts w:ascii="Times New Roman" w:hAnsi="Times New Roman"/>
          <w:color w:val="000000"/>
          <w:szCs w:val="21"/>
          <w:highlight w:val="none"/>
        </w:rPr>
        <w:t>（7）为本招标项目的代建人；</w:t>
      </w:r>
    </w:p>
    <w:p>
      <w:pPr>
        <w:spacing w:line="400" w:lineRule="exact"/>
        <w:ind w:firstLine="420" w:firstLineChars="200"/>
        <w:rPr>
          <w:rFonts w:ascii="Times New Roman" w:hAnsi="Times New Roman"/>
          <w:color w:val="000000"/>
          <w:szCs w:val="21"/>
          <w:highlight w:val="none"/>
        </w:rPr>
      </w:pPr>
      <w:r>
        <w:rPr>
          <w:rFonts w:ascii="Times New Roman" w:hAnsi="Times New Roman"/>
          <w:color w:val="000000"/>
          <w:szCs w:val="21"/>
          <w:highlight w:val="none"/>
        </w:rPr>
        <w:t>（8）为本招标项目的招标代理机构；</w:t>
      </w:r>
    </w:p>
    <w:p>
      <w:pPr>
        <w:spacing w:line="400" w:lineRule="exact"/>
        <w:ind w:firstLine="420" w:firstLineChars="200"/>
        <w:rPr>
          <w:rFonts w:ascii="Times New Roman" w:hAnsi="Times New Roman"/>
          <w:color w:val="000000"/>
          <w:szCs w:val="21"/>
          <w:highlight w:val="none"/>
        </w:rPr>
      </w:pPr>
      <w:r>
        <w:rPr>
          <w:rFonts w:ascii="Times New Roman" w:hAnsi="Times New Roman"/>
          <w:color w:val="000000"/>
          <w:szCs w:val="21"/>
          <w:highlight w:val="none"/>
        </w:rPr>
        <w:t>（9）与本工程项目的监理人</w:t>
      </w:r>
      <w:r>
        <w:rPr>
          <w:rFonts w:hint="eastAsia" w:ascii="Times New Roman" w:hAnsi="Times New Roman"/>
          <w:color w:val="000000"/>
          <w:szCs w:val="21"/>
          <w:highlight w:val="none"/>
        </w:rPr>
        <w:t>或</w:t>
      </w:r>
      <w:r>
        <w:rPr>
          <w:rFonts w:ascii="Times New Roman" w:hAnsi="Times New Roman"/>
          <w:color w:val="000000"/>
          <w:szCs w:val="21"/>
          <w:highlight w:val="none"/>
        </w:rPr>
        <w:t>本招标项目的代建人或招标代理机构同为一个法定代表人；</w:t>
      </w:r>
    </w:p>
    <w:p>
      <w:pPr>
        <w:spacing w:line="400" w:lineRule="exact"/>
        <w:ind w:firstLine="420" w:firstLineChars="200"/>
        <w:rPr>
          <w:rFonts w:ascii="Times New Roman" w:hAnsi="Times New Roman"/>
          <w:color w:val="000000"/>
          <w:szCs w:val="21"/>
          <w:highlight w:val="none"/>
        </w:rPr>
      </w:pPr>
      <w:r>
        <w:rPr>
          <w:rFonts w:ascii="Times New Roman" w:hAnsi="Times New Roman"/>
          <w:color w:val="000000"/>
          <w:szCs w:val="21"/>
          <w:highlight w:val="none"/>
        </w:rPr>
        <w:t>（10）与本工程项目的监理人</w:t>
      </w:r>
      <w:r>
        <w:rPr>
          <w:rFonts w:hint="eastAsia" w:ascii="Times New Roman" w:hAnsi="Times New Roman"/>
          <w:color w:val="000000"/>
          <w:szCs w:val="21"/>
          <w:highlight w:val="none"/>
        </w:rPr>
        <w:t>或</w:t>
      </w:r>
      <w:r>
        <w:rPr>
          <w:rFonts w:ascii="Times New Roman" w:hAnsi="Times New Roman"/>
          <w:color w:val="000000"/>
          <w:szCs w:val="21"/>
          <w:highlight w:val="none"/>
        </w:rPr>
        <w:t>本招标项目的代建人或招标代理机构存在控股或参股关系；</w:t>
      </w:r>
    </w:p>
    <w:p>
      <w:pPr>
        <w:spacing w:line="400" w:lineRule="exact"/>
        <w:ind w:firstLine="420" w:firstLineChars="200"/>
        <w:rPr>
          <w:rFonts w:ascii="Times New Roman" w:hAnsi="Times New Roman"/>
          <w:color w:val="000000"/>
          <w:szCs w:val="21"/>
          <w:highlight w:val="none"/>
        </w:rPr>
      </w:pPr>
      <w:r>
        <w:rPr>
          <w:rFonts w:ascii="Times New Roman" w:hAnsi="Times New Roman"/>
          <w:color w:val="000000"/>
          <w:szCs w:val="21"/>
          <w:highlight w:val="none"/>
        </w:rPr>
        <w:t>（11）被依法暂停或者取消投标资格；</w:t>
      </w:r>
    </w:p>
    <w:p>
      <w:pPr>
        <w:spacing w:line="400" w:lineRule="exact"/>
        <w:ind w:firstLine="420" w:firstLineChars="200"/>
        <w:rPr>
          <w:rFonts w:ascii="Times New Roman" w:hAnsi="Times New Roman"/>
          <w:color w:val="000000"/>
          <w:szCs w:val="21"/>
          <w:highlight w:val="none"/>
        </w:rPr>
      </w:pPr>
      <w:r>
        <w:rPr>
          <w:rFonts w:ascii="Times New Roman" w:hAnsi="Times New Roman"/>
          <w:color w:val="000000"/>
          <w:szCs w:val="21"/>
          <w:highlight w:val="none"/>
        </w:rPr>
        <w:t>（12）被责令停产停业</w:t>
      </w:r>
      <w:r>
        <w:rPr>
          <w:rFonts w:hint="eastAsia" w:ascii="Times New Roman" w:hAnsi="Times New Roman"/>
          <w:color w:val="000000"/>
          <w:szCs w:val="21"/>
          <w:highlight w:val="none"/>
        </w:rPr>
        <w:t>，</w:t>
      </w:r>
      <w:r>
        <w:rPr>
          <w:rFonts w:ascii="Times New Roman" w:hAnsi="Times New Roman"/>
          <w:color w:val="000000"/>
          <w:szCs w:val="21"/>
          <w:highlight w:val="none"/>
        </w:rPr>
        <w:t>暂扣或者吊销许可证</w:t>
      </w:r>
      <w:r>
        <w:rPr>
          <w:rFonts w:hint="eastAsia" w:ascii="Times New Roman" w:hAnsi="Times New Roman"/>
          <w:color w:val="000000"/>
          <w:szCs w:val="21"/>
          <w:highlight w:val="none"/>
        </w:rPr>
        <w:t>，</w:t>
      </w:r>
      <w:r>
        <w:rPr>
          <w:rFonts w:ascii="Times New Roman" w:hAnsi="Times New Roman"/>
          <w:color w:val="000000"/>
          <w:szCs w:val="21"/>
          <w:highlight w:val="none"/>
        </w:rPr>
        <w:t>暂扣或者吊销执照；</w:t>
      </w:r>
    </w:p>
    <w:p>
      <w:pPr>
        <w:spacing w:line="400" w:lineRule="exact"/>
        <w:ind w:firstLine="420" w:firstLineChars="200"/>
        <w:rPr>
          <w:rFonts w:ascii="Times New Roman" w:hAnsi="Times New Roman"/>
          <w:color w:val="000000"/>
          <w:szCs w:val="21"/>
          <w:highlight w:val="none"/>
        </w:rPr>
      </w:pPr>
      <w:r>
        <w:rPr>
          <w:rFonts w:ascii="Times New Roman" w:hAnsi="Times New Roman"/>
          <w:color w:val="000000"/>
          <w:szCs w:val="21"/>
          <w:highlight w:val="none"/>
        </w:rPr>
        <w:t>（13）进入清算程序，或被宣告破产，或其他丧失履约能力的情形；</w:t>
      </w:r>
    </w:p>
    <w:p>
      <w:pPr>
        <w:spacing w:line="400" w:lineRule="exact"/>
        <w:ind w:firstLine="420" w:firstLineChars="200"/>
        <w:rPr>
          <w:rFonts w:ascii="Times New Roman" w:hAnsi="Times New Roman"/>
          <w:color w:val="000000"/>
          <w:szCs w:val="21"/>
          <w:highlight w:val="none"/>
        </w:rPr>
      </w:pPr>
      <w:r>
        <w:rPr>
          <w:rFonts w:ascii="Times New Roman" w:hAnsi="Times New Roman"/>
          <w:color w:val="000000"/>
          <w:szCs w:val="21"/>
          <w:highlight w:val="none"/>
        </w:rPr>
        <w:t>（14）在近三年内发生重大产品质量问题（以相关行业主管部门的行政处罚决定或司法机关出具的有关法律文书为准）；</w:t>
      </w:r>
    </w:p>
    <w:p>
      <w:pPr>
        <w:spacing w:line="400" w:lineRule="exact"/>
        <w:ind w:firstLine="420" w:firstLineChars="200"/>
        <w:rPr>
          <w:rFonts w:ascii="Times New Roman" w:hAnsi="Times New Roman"/>
          <w:color w:val="000000"/>
          <w:szCs w:val="21"/>
          <w:highlight w:val="none"/>
        </w:rPr>
      </w:pPr>
      <w:r>
        <w:rPr>
          <w:rFonts w:hint="eastAsia" w:ascii="Times New Roman" w:hAnsi="Times New Roman"/>
          <w:color w:val="000000"/>
          <w:szCs w:val="21"/>
          <w:highlight w:val="none"/>
        </w:rPr>
        <w:t>（16）在国家企业信用信息公示系统（http://www.gsxt.gov.cn/）中被列入严重违法失信企业名单；</w:t>
      </w:r>
    </w:p>
    <w:p>
      <w:pPr>
        <w:spacing w:line="400" w:lineRule="exact"/>
        <w:ind w:firstLine="420" w:firstLineChars="200"/>
        <w:rPr>
          <w:rFonts w:ascii="Times New Roman" w:hAnsi="Times New Roman"/>
          <w:color w:val="000000"/>
          <w:szCs w:val="21"/>
          <w:highlight w:val="none"/>
        </w:rPr>
      </w:pPr>
      <w:r>
        <w:rPr>
          <w:rFonts w:hint="eastAsia" w:ascii="Times New Roman" w:hAnsi="Times New Roman"/>
          <w:color w:val="000000"/>
          <w:szCs w:val="21"/>
          <w:highlight w:val="none"/>
        </w:rPr>
        <w:t>（17）在“信用中国”网站（http://www.creditchina.gov.cn/）中被列入失信被执行人名单；</w:t>
      </w:r>
    </w:p>
    <w:p>
      <w:pPr>
        <w:spacing w:line="400" w:lineRule="exact"/>
        <w:ind w:firstLine="420" w:firstLineChars="200"/>
        <w:rPr>
          <w:rFonts w:ascii="Times New Roman" w:hAnsi="Times New Roman"/>
          <w:color w:val="000000"/>
          <w:szCs w:val="21"/>
          <w:highlight w:val="none"/>
        </w:rPr>
      </w:pPr>
      <w:r>
        <w:rPr>
          <w:rFonts w:hint="eastAsia" w:ascii="Times New Roman" w:hAnsi="Times New Roman"/>
          <w:color w:val="000000"/>
          <w:szCs w:val="21"/>
          <w:highlight w:val="none"/>
        </w:rPr>
        <w:t>（18）在“信用中国”网站（http://www.creditchina.gov.cn/）中被列入重大税收违法案件当事人名单；</w:t>
      </w:r>
    </w:p>
    <w:p>
      <w:pPr>
        <w:spacing w:line="400" w:lineRule="exact"/>
        <w:ind w:firstLine="420" w:firstLineChars="200"/>
        <w:rPr>
          <w:rFonts w:ascii="Times New Roman" w:hAnsi="Times New Roman"/>
          <w:color w:val="000000"/>
          <w:szCs w:val="21"/>
          <w:highlight w:val="none"/>
        </w:rPr>
      </w:pPr>
      <w:r>
        <w:rPr>
          <w:rFonts w:hint="eastAsia" w:ascii="Times New Roman" w:hAnsi="Times New Roman"/>
          <w:color w:val="000000"/>
          <w:szCs w:val="21"/>
          <w:highlight w:val="none"/>
        </w:rPr>
        <w:t>（19）在近三年内投标人或其法定代表人、拟委任的项目负责人有行贿犯罪行为的；</w:t>
      </w:r>
    </w:p>
    <w:p>
      <w:pPr>
        <w:spacing w:line="400" w:lineRule="exact"/>
        <w:ind w:firstLine="420" w:firstLineChars="200"/>
        <w:rPr>
          <w:rFonts w:ascii="Times New Roman" w:hAnsi="Times New Roman"/>
          <w:color w:val="000000"/>
          <w:szCs w:val="21"/>
          <w:highlight w:val="none"/>
        </w:rPr>
      </w:pPr>
      <w:r>
        <w:rPr>
          <w:rFonts w:ascii="Times New Roman" w:hAnsi="Times New Roman"/>
          <w:color w:val="000000"/>
          <w:szCs w:val="21"/>
          <w:highlight w:val="none"/>
        </w:rPr>
        <w:t>（</w:t>
      </w:r>
      <w:r>
        <w:rPr>
          <w:rFonts w:hint="eastAsia" w:ascii="Times New Roman" w:hAnsi="Times New Roman"/>
          <w:color w:val="000000"/>
          <w:szCs w:val="21"/>
          <w:highlight w:val="none"/>
        </w:rPr>
        <w:t>20</w:t>
      </w:r>
      <w:r>
        <w:rPr>
          <w:rFonts w:ascii="Times New Roman" w:hAnsi="Times New Roman"/>
          <w:color w:val="000000"/>
          <w:szCs w:val="21"/>
          <w:highlight w:val="none"/>
        </w:rPr>
        <w:t>）法律法规或投标人须知前附表规定的其他情形。</w:t>
      </w:r>
    </w:p>
    <w:p>
      <w:pPr>
        <w:pStyle w:val="4"/>
        <w:spacing w:line="240" w:lineRule="auto"/>
        <w:ind w:firstLine="137"/>
        <w:rPr>
          <w:rFonts w:ascii="Times New Roman" w:hAnsi="Times New Roman"/>
          <w:color w:val="000000"/>
          <w:highlight w:val="none"/>
        </w:rPr>
      </w:pPr>
      <w:bookmarkStart w:id="124" w:name="_Toc93168612"/>
      <w:r>
        <w:rPr>
          <w:rFonts w:ascii="Times New Roman" w:hAnsi="Times New Roman"/>
          <w:color w:val="000000"/>
          <w:highlight w:val="none"/>
        </w:rPr>
        <w:t xml:space="preserve">1.5 </w:t>
      </w:r>
      <w:r>
        <w:rPr>
          <w:rFonts w:hint="eastAsia" w:ascii="Times New Roman" w:hAnsi="Times New Roman"/>
          <w:color w:val="000000"/>
          <w:highlight w:val="none"/>
        </w:rPr>
        <w:t>费用承担</w:t>
      </w:r>
      <w:bookmarkEnd w:id="124"/>
    </w:p>
    <w:p>
      <w:pPr>
        <w:spacing w:line="400" w:lineRule="exact"/>
        <w:ind w:firstLine="420" w:firstLineChars="200"/>
        <w:rPr>
          <w:rFonts w:ascii="Times New Roman" w:hAnsi="Times New Roman"/>
          <w:highlight w:val="none"/>
        </w:rPr>
      </w:pPr>
      <w:r>
        <w:rPr>
          <w:rFonts w:ascii="Times New Roman" w:hAnsi="Times New Roman"/>
          <w:highlight w:val="none"/>
        </w:rPr>
        <w:t>投标人准备和参加投标活动发生的费用自理。</w:t>
      </w:r>
    </w:p>
    <w:p>
      <w:pPr>
        <w:pStyle w:val="4"/>
        <w:spacing w:line="240" w:lineRule="auto"/>
        <w:ind w:firstLine="137"/>
        <w:rPr>
          <w:rFonts w:ascii="Times New Roman" w:hAnsi="Times New Roman"/>
          <w:color w:val="000000"/>
          <w:highlight w:val="none"/>
        </w:rPr>
      </w:pPr>
      <w:bookmarkStart w:id="125" w:name="_Toc836155452"/>
      <w:r>
        <w:rPr>
          <w:rFonts w:ascii="Times New Roman" w:hAnsi="Times New Roman"/>
          <w:color w:val="000000"/>
          <w:highlight w:val="none"/>
        </w:rPr>
        <w:t>1.6</w:t>
      </w:r>
      <w:r>
        <w:rPr>
          <w:rFonts w:hint="eastAsia" w:ascii="Times New Roman" w:hAnsi="Times New Roman"/>
          <w:color w:val="000000"/>
          <w:highlight w:val="none"/>
        </w:rPr>
        <w:t>保密</w:t>
      </w:r>
      <w:bookmarkEnd w:id="125"/>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参与招标投标活动的各方应对招标文件和投标文件中</w:t>
      </w:r>
      <w:bookmarkStart w:id="126" w:name="_Toc352691477"/>
      <w:bookmarkStart w:id="127" w:name="_Toc369531519"/>
      <w:bookmarkStart w:id="128" w:name="_Toc5326"/>
      <w:bookmarkStart w:id="129" w:name="_Toc361508589"/>
      <w:bookmarkStart w:id="130" w:name="_Toc384308214"/>
      <w:r>
        <w:rPr>
          <w:rFonts w:ascii="Times New Roman" w:hAnsi="Times New Roman"/>
          <w:color w:val="000000"/>
          <w:highlight w:val="none"/>
        </w:rPr>
        <w:t>的商业和技术等秘密保密</w:t>
      </w:r>
      <w:bookmarkEnd w:id="126"/>
      <w:bookmarkEnd w:id="127"/>
      <w:bookmarkEnd w:id="128"/>
      <w:bookmarkEnd w:id="129"/>
      <w:bookmarkEnd w:id="130"/>
      <w:r>
        <w:rPr>
          <w:rFonts w:ascii="Times New Roman" w:hAnsi="Times New Roman"/>
          <w:color w:val="000000"/>
          <w:highlight w:val="none"/>
        </w:rPr>
        <w:t>，否则应承担相应的法律责任。</w:t>
      </w:r>
    </w:p>
    <w:p>
      <w:pPr>
        <w:pStyle w:val="4"/>
        <w:spacing w:line="240" w:lineRule="auto"/>
        <w:ind w:firstLine="137"/>
        <w:rPr>
          <w:rFonts w:ascii="Times New Roman" w:hAnsi="Times New Roman"/>
          <w:color w:val="000000"/>
          <w:highlight w:val="none"/>
        </w:rPr>
      </w:pPr>
      <w:bookmarkStart w:id="131" w:name="_Toc1976276933"/>
      <w:r>
        <w:rPr>
          <w:rFonts w:ascii="Times New Roman" w:hAnsi="Times New Roman"/>
          <w:color w:val="000000"/>
          <w:highlight w:val="none"/>
        </w:rPr>
        <w:t>1.7 语言文字</w:t>
      </w:r>
      <w:bookmarkEnd w:id="131"/>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招标投标文件使用的语言文字为中文。专用术语使用外文的，应附有中文注释。</w:t>
      </w:r>
    </w:p>
    <w:p>
      <w:pPr>
        <w:pStyle w:val="4"/>
        <w:spacing w:line="240" w:lineRule="auto"/>
        <w:ind w:firstLine="137"/>
        <w:rPr>
          <w:rFonts w:ascii="Times New Roman" w:hAnsi="Times New Roman"/>
          <w:color w:val="000000"/>
          <w:highlight w:val="none"/>
        </w:rPr>
      </w:pPr>
      <w:bookmarkStart w:id="132" w:name="_Toc167003738"/>
      <w:r>
        <w:rPr>
          <w:rFonts w:ascii="Times New Roman" w:hAnsi="Times New Roman"/>
          <w:color w:val="000000"/>
          <w:highlight w:val="none"/>
        </w:rPr>
        <w:t>1.8计量单位</w:t>
      </w:r>
      <w:bookmarkEnd w:id="132"/>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所有计量均采用中华人民共和国法定计量单位。</w:t>
      </w:r>
    </w:p>
    <w:p>
      <w:pPr>
        <w:pStyle w:val="4"/>
        <w:spacing w:line="240" w:lineRule="auto"/>
        <w:ind w:firstLine="137"/>
        <w:rPr>
          <w:rFonts w:ascii="Times New Roman" w:hAnsi="Times New Roman"/>
          <w:color w:val="000000"/>
          <w:highlight w:val="none"/>
        </w:rPr>
      </w:pPr>
      <w:bookmarkStart w:id="133" w:name="_Toc1327191432"/>
      <w:r>
        <w:rPr>
          <w:rFonts w:ascii="Times New Roman" w:hAnsi="Times New Roman"/>
          <w:color w:val="000000"/>
          <w:highlight w:val="none"/>
        </w:rPr>
        <w:t>1.9投标预备会</w:t>
      </w:r>
      <w:bookmarkEnd w:id="133"/>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w:t>
      </w:r>
      <w:r>
        <w:rPr>
          <w:rFonts w:hint="eastAsia" w:ascii="Times New Roman" w:hAnsi="Times New Roman"/>
          <w:highlight w:val="none"/>
        </w:rPr>
        <w:t>9</w:t>
      </w:r>
      <w:r>
        <w:rPr>
          <w:rFonts w:ascii="Times New Roman" w:hAnsi="Times New Roman"/>
          <w:color w:val="000000"/>
          <w:highlight w:val="none"/>
        </w:rPr>
        <w:t>.1 投标人须知前附表规定召开投标预备会的，招标人按投标人须知前附表规定的时间和地点召开投标预备会，澄清投标人提出的问题。</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w:t>
      </w:r>
      <w:r>
        <w:rPr>
          <w:rFonts w:hint="eastAsia" w:ascii="Times New Roman" w:hAnsi="Times New Roman"/>
          <w:highlight w:val="none"/>
        </w:rPr>
        <w:t>9</w:t>
      </w:r>
      <w:r>
        <w:rPr>
          <w:rFonts w:ascii="Times New Roman" w:hAnsi="Times New Roman"/>
          <w:color w:val="000000"/>
          <w:highlight w:val="none"/>
        </w:rPr>
        <w:t>.2 投标人应按投标人须知前附表规定的时间和形式将提出的问题送达招标人，以便招标人在会议期间澄清。</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w:t>
      </w:r>
      <w:r>
        <w:rPr>
          <w:rFonts w:hint="eastAsia" w:ascii="Times New Roman" w:hAnsi="Times New Roman"/>
          <w:highlight w:val="none"/>
        </w:rPr>
        <w:t>9</w:t>
      </w:r>
      <w:r>
        <w:rPr>
          <w:rFonts w:ascii="Times New Roman" w:hAnsi="Times New Roman"/>
          <w:color w:val="000000"/>
          <w:highlight w:val="none"/>
        </w:rPr>
        <w:t>.3 投标预备会后，招标人将对投标人所提问题的澄清，以投标人须知前附表规定的形式通知所有</w:t>
      </w:r>
      <w:r>
        <w:rPr>
          <w:rFonts w:hint="eastAsia" w:ascii="Times New Roman" w:hAnsi="Times New Roman"/>
          <w:color w:val="000000"/>
          <w:highlight w:val="none"/>
          <w:lang w:eastAsia="zh-CN"/>
        </w:rPr>
        <w:t>获取招标文件</w:t>
      </w:r>
      <w:r>
        <w:rPr>
          <w:rFonts w:ascii="Times New Roman" w:hAnsi="Times New Roman"/>
          <w:color w:val="000000"/>
          <w:highlight w:val="none"/>
        </w:rPr>
        <w:t>的投标人。该澄清内容为招标文件的组成部分。</w:t>
      </w:r>
    </w:p>
    <w:p>
      <w:pPr>
        <w:pStyle w:val="4"/>
        <w:spacing w:line="240" w:lineRule="auto"/>
        <w:ind w:firstLine="137"/>
        <w:rPr>
          <w:rFonts w:ascii="Times New Roman" w:hAnsi="Times New Roman"/>
          <w:color w:val="000000"/>
          <w:highlight w:val="none"/>
        </w:rPr>
      </w:pPr>
      <w:bookmarkStart w:id="134" w:name="_Toc710109426"/>
      <w:r>
        <w:rPr>
          <w:rFonts w:ascii="Times New Roman" w:hAnsi="Times New Roman"/>
          <w:color w:val="000000"/>
          <w:highlight w:val="none"/>
        </w:rPr>
        <w:t>1.10 分包</w:t>
      </w:r>
      <w:bookmarkEnd w:id="134"/>
    </w:p>
    <w:p>
      <w:pPr>
        <w:spacing w:line="400" w:lineRule="exact"/>
        <w:ind w:firstLine="420" w:firstLineChars="200"/>
        <w:rPr>
          <w:rFonts w:ascii="Times New Roman" w:hAnsi="Times New Roman"/>
          <w:color w:val="000000"/>
          <w:szCs w:val="20"/>
          <w:highlight w:val="none"/>
        </w:rPr>
      </w:pPr>
      <w:r>
        <w:rPr>
          <w:rFonts w:ascii="Times New Roman" w:hAnsi="Times New Roman"/>
          <w:color w:val="000000"/>
          <w:highlight w:val="none"/>
        </w:rPr>
        <w:t xml:space="preserve">1.10.1 投标人拟在中标后将中标项目的非主体材料进行分包的，应符合投标人须知前附表规定的分包内容、分包金额和资质要求等限制性条件，除投标人须知前附表规定的非主体材料外，其他工作不得分包。 </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1.10.2中标人不得向他人转让中标项目，接受分包的人不得再次分包。中标人应当就分包项目向招标人负责，接受分包的人就分包项目承担连带责任。</w:t>
      </w:r>
    </w:p>
    <w:p>
      <w:pPr>
        <w:pStyle w:val="4"/>
        <w:spacing w:line="240" w:lineRule="auto"/>
        <w:ind w:firstLine="137"/>
        <w:rPr>
          <w:rFonts w:ascii="Times New Roman" w:hAnsi="Times New Roman"/>
          <w:color w:val="000000"/>
          <w:highlight w:val="none"/>
        </w:rPr>
      </w:pPr>
      <w:bookmarkStart w:id="135" w:name="_Toc1596622644"/>
      <w:r>
        <w:rPr>
          <w:rFonts w:ascii="Times New Roman" w:hAnsi="Times New Roman"/>
          <w:color w:val="000000"/>
          <w:highlight w:val="none"/>
        </w:rPr>
        <w:t>1.11响应和偏差</w:t>
      </w:r>
      <w:bookmarkEnd w:id="135"/>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1.11.1投标文件应当对招标文件的实质性要求和条件作出满足性或更有利于招标人的响应，否则，投标人的投标将被否决。实质性要求和条件见投标人须知前附表。</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 xml:space="preserve">1.11.2 </w:t>
      </w:r>
      <w:r>
        <w:rPr>
          <w:rFonts w:ascii="Times New Roman" w:hAnsi="Times New Roman"/>
          <w:szCs w:val="21"/>
          <w:highlight w:val="none"/>
        </w:rPr>
        <w:t>投标人应根据招标文件的要求提供</w:t>
      </w:r>
      <w:r>
        <w:rPr>
          <w:rFonts w:ascii="Times New Roman" w:hAnsi="Times New Roman"/>
          <w:highlight w:val="none"/>
        </w:rPr>
        <w:t>投标材料质量标准的详细描述、技术支持资料及相关服务计划等内容以对招标文件作出响应。</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1.11.3 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其投标将被否决。</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1.11.4 投标人须知前附表规定了可以偏差的范围和最高偏差项数的，偏差应当符合投标人须知前附表规定的偏差范围和最高项数，超出偏差范围和最高</w:t>
      </w:r>
      <w:r>
        <w:rPr>
          <w:rFonts w:hint="eastAsia" w:ascii="Times New Roman" w:hAnsi="Times New Roman"/>
          <w:color w:val="000000"/>
          <w:highlight w:val="none"/>
        </w:rPr>
        <w:t>偏差</w:t>
      </w:r>
      <w:r>
        <w:rPr>
          <w:rFonts w:ascii="Times New Roman" w:hAnsi="Times New Roman"/>
          <w:color w:val="000000"/>
          <w:highlight w:val="none"/>
        </w:rPr>
        <w:t>项数的投标将被否决。</w:t>
      </w:r>
    </w:p>
    <w:p>
      <w:pPr>
        <w:spacing w:line="400" w:lineRule="exact"/>
        <w:ind w:firstLine="420" w:firstLineChars="200"/>
        <w:rPr>
          <w:rFonts w:ascii="Times New Roman" w:hAnsi="Times New Roman"/>
          <w:highlight w:val="none"/>
        </w:rPr>
      </w:pPr>
      <w:r>
        <w:rPr>
          <w:rFonts w:ascii="Times New Roman" w:hAnsi="Times New Roman"/>
          <w:color w:val="000000"/>
          <w:highlight w:val="none"/>
        </w:rPr>
        <w:t>1.11.5 投标文件对招标文件的全部偏差，均应在投标文件的</w:t>
      </w:r>
      <w:r>
        <w:rPr>
          <w:rFonts w:ascii="Times New Roman" w:hAnsi="Times New Roman"/>
          <w:szCs w:val="21"/>
          <w:highlight w:val="none"/>
        </w:rPr>
        <w:t>商务和技术偏差表</w:t>
      </w:r>
      <w:r>
        <w:rPr>
          <w:rFonts w:ascii="Times New Roman" w:hAnsi="Times New Roman"/>
          <w:color w:val="000000"/>
          <w:highlight w:val="none"/>
        </w:rPr>
        <w:t>中列明，除</w:t>
      </w:r>
      <w:r>
        <w:rPr>
          <w:rFonts w:ascii="Times New Roman" w:hAnsi="Times New Roman"/>
          <w:szCs w:val="21"/>
          <w:highlight w:val="none"/>
        </w:rPr>
        <w:t>列明的内容外，视为投标人响应招标文件的全部要求。</w:t>
      </w:r>
    </w:p>
    <w:p>
      <w:pPr>
        <w:pStyle w:val="3"/>
        <w:rPr>
          <w:rFonts w:ascii="Times New Roman" w:hAnsi="Times New Roman"/>
          <w:color w:val="000000"/>
          <w:highlight w:val="none"/>
        </w:rPr>
      </w:pPr>
      <w:bookmarkStart w:id="136" w:name="_Toc1860939927"/>
      <w:r>
        <w:rPr>
          <w:rFonts w:ascii="Times New Roman" w:hAnsi="Times New Roman"/>
          <w:color w:val="000000"/>
          <w:highlight w:val="none"/>
        </w:rPr>
        <w:t>2. 招标文件</w:t>
      </w:r>
      <w:bookmarkEnd w:id="136"/>
    </w:p>
    <w:p>
      <w:pPr>
        <w:pStyle w:val="4"/>
        <w:spacing w:line="240" w:lineRule="auto"/>
        <w:ind w:firstLine="137"/>
        <w:rPr>
          <w:rFonts w:ascii="Times New Roman" w:hAnsi="Times New Roman"/>
          <w:color w:val="000000"/>
          <w:highlight w:val="none"/>
        </w:rPr>
      </w:pPr>
      <w:bookmarkStart w:id="137" w:name="_Toc2071971401"/>
      <w:r>
        <w:rPr>
          <w:rFonts w:ascii="Times New Roman" w:hAnsi="Times New Roman"/>
          <w:color w:val="000000"/>
          <w:highlight w:val="none"/>
        </w:rPr>
        <w:t>2.1 招标文件的组成</w:t>
      </w:r>
      <w:bookmarkEnd w:id="137"/>
    </w:p>
    <w:p>
      <w:pPr>
        <w:spacing w:line="400" w:lineRule="exact"/>
        <w:ind w:firstLine="359" w:firstLineChars="171"/>
        <w:rPr>
          <w:rFonts w:ascii="Times New Roman" w:hAnsi="Times New Roman"/>
          <w:color w:val="000000"/>
          <w:highlight w:val="none"/>
        </w:rPr>
      </w:pPr>
      <w:r>
        <w:rPr>
          <w:rFonts w:ascii="Times New Roman" w:hAnsi="Times New Roman"/>
          <w:color w:val="000000"/>
          <w:highlight w:val="none"/>
        </w:rPr>
        <w:t>本招标文件包括：</w:t>
      </w:r>
    </w:p>
    <w:p>
      <w:pPr>
        <w:spacing w:line="400" w:lineRule="exact"/>
        <w:ind w:firstLine="359" w:firstLineChars="171"/>
        <w:rPr>
          <w:rFonts w:ascii="Times New Roman" w:hAnsi="Times New Roman"/>
          <w:color w:val="000000"/>
          <w:highlight w:val="none"/>
        </w:rPr>
      </w:pPr>
      <w:r>
        <w:rPr>
          <w:rFonts w:ascii="Times New Roman" w:hAnsi="Times New Roman"/>
          <w:color w:val="000000"/>
          <w:highlight w:val="none"/>
        </w:rPr>
        <w:t>（1）招标公告（或投标邀请书）；</w:t>
      </w:r>
    </w:p>
    <w:p>
      <w:pPr>
        <w:spacing w:line="400" w:lineRule="exact"/>
        <w:ind w:firstLine="359" w:firstLineChars="171"/>
        <w:rPr>
          <w:rFonts w:ascii="Times New Roman" w:hAnsi="Times New Roman"/>
          <w:color w:val="000000"/>
          <w:highlight w:val="none"/>
        </w:rPr>
      </w:pPr>
      <w:r>
        <w:rPr>
          <w:rFonts w:ascii="Times New Roman" w:hAnsi="Times New Roman"/>
          <w:color w:val="000000"/>
          <w:highlight w:val="none"/>
        </w:rPr>
        <w:t>（2）投标人须知；</w:t>
      </w:r>
    </w:p>
    <w:p>
      <w:pPr>
        <w:spacing w:line="400" w:lineRule="exact"/>
        <w:ind w:firstLine="359" w:firstLineChars="171"/>
        <w:rPr>
          <w:rFonts w:ascii="Times New Roman" w:hAnsi="Times New Roman"/>
          <w:color w:val="000000"/>
          <w:highlight w:val="none"/>
        </w:rPr>
      </w:pPr>
      <w:r>
        <w:rPr>
          <w:rFonts w:ascii="Times New Roman" w:hAnsi="Times New Roman"/>
          <w:color w:val="000000"/>
          <w:highlight w:val="none"/>
        </w:rPr>
        <w:t>（3）评标办法；</w:t>
      </w:r>
    </w:p>
    <w:p>
      <w:pPr>
        <w:spacing w:line="400" w:lineRule="exact"/>
        <w:ind w:firstLine="359" w:firstLineChars="171"/>
        <w:rPr>
          <w:rFonts w:ascii="Times New Roman" w:hAnsi="Times New Roman"/>
          <w:color w:val="000000"/>
          <w:highlight w:val="none"/>
        </w:rPr>
      </w:pPr>
      <w:r>
        <w:rPr>
          <w:rFonts w:ascii="Times New Roman" w:hAnsi="Times New Roman"/>
          <w:color w:val="000000"/>
          <w:highlight w:val="none"/>
        </w:rPr>
        <w:t>（4）合同条款及格式；</w:t>
      </w:r>
    </w:p>
    <w:p>
      <w:pPr>
        <w:spacing w:line="400" w:lineRule="exact"/>
        <w:ind w:firstLine="359" w:firstLineChars="171"/>
        <w:rPr>
          <w:rFonts w:ascii="Times New Roman" w:hAnsi="Times New Roman"/>
          <w:highlight w:val="none"/>
        </w:rPr>
      </w:pPr>
      <w:r>
        <w:rPr>
          <w:rFonts w:ascii="Times New Roman" w:hAnsi="Times New Roman"/>
          <w:color w:val="000000"/>
          <w:highlight w:val="none"/>
        </w:rPr>
        <w:t>（5）</w:t>
      </w:r>
      <w:r>
        <w:rPr>
          <w:rFonts w:ascii="Times New Roman" w:hAnsi="Times New Roman"/>
          <w:highlight w:val="none"/>
        </w:rPr>
        <w:t>供货要求；</w:t>
      </w:r>
    </w:p>
    <w:p>
      <w:pPr>
        <w:spacing w:line="400" w:lineRule="exact"/>
        <w:ind w:firstLine="359" w:firstLineChars="171"/>
        <w:rPr>
          <w:rFonts w:ascii="Times New Roman" w:hAnsi="Times New Roman"/>
          <w:highlight w:val="none"/>
        </w:rPr>
      </w:pPr>
      <w:r>
        <w:rPr>
          <w:rFonts w:ascii="Times New Roman" w:hAnsi="Times New Roman"/>
          <w:highlight w:val="none"/>
        </w:rPr>
        <w:t>（6）投标文件格式；</w:t>
      </w:r>
    </w:p>
    <w:p>
      <w:pPr>
        <w:spacing w:line="400" w:lineRule="exact"/>
        <w:ind w:firstLine="359" w:firstLineChars="171"/>
        <w:rPr>
          <w:rFonts w:ascii="Times New Roman" w:hAnsi="Times New Roman"/>
          <w:color w:val="000000"/>
          <w:highlight w:val="none"/>
        </w:rPr>
      </w:pPr>
      <w:r>
        <w:rPr>
          <w:rFonts w:ascii="Times New Roman" w:hAnsi="Times New Roman"/>
          <w:highlight w:val="none"/>
        </w:rPr>
        <w:t>（7</w:t>
      </w:r>
      <w:r>
        <w:rPr>
          <w:rFonts w:ascii="Times New Roman" w:hAnsi="Times New Roman"/>
          <w:color w:val="000000"/>
          <w:highlight w:val="none"/>
        </w:rPr>
        <w:t>）投标人须知前附表规定的其他资料。</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根据本章第1.9款、第2.2款和第2.3款对招标文件</w:t>
      </w:r>
      <w:r>
        <w:rPr>
          <w:rFonts w:hint="eastAsia" w:ascii="Times New Roman" w:hAnsi="Times New Roman"/>
          <w:color w:val="000000"/>
          <w:highlight w:val="none"/>
        </w:rPr>
        <w:t>所做</w:t>
      </w:r>
      <w:r>
        <w:rPr>
          <w:rFonts w:ascii="Times New Roman" w:hAnsi="Times New Roman"/>
          <w:color w:val="000000"/>
          <w:highlight w:val="none"/>
        </w:rPr>
        <w:t>的澄清、修改，构成招标文件的组成部分。</w:t>
      </w:r>
    </w:p>
    <w:p>
      <w:pPr>
        <w:pStyle w:val="4"/>
        <w:spacing w:line="240" w:lineRule="auto"/>
        <w:ind w:firstLine="137"/>
        <w:rPr>
          <w:rFonts w:ascii="Times New Roman" w:hAnsi="Times New Roman"/>
          <w:color w:val="000000"/>
          <w:highlight w:val="none"/>
        </w:rPr>
      </w:pPr>
      <w:bookmarkStart w:id="138" w:name="_Toc9462741"/>
      <w:r>
        <w:rPr>
          <w:rFonts w:ascii="Times New Roman" w:hAnsi="Times New Roman"/>
          <w:color w:val="000000"/>
          <w:highlight w:val="none"/>
        </w:rPr>
        <w:t>2.2 招标文件的澄清</w:t>
      </w:r>
      <w:bookmarkEnd w:id="138"/>
    </w:p>
    <w:p>
      <w:pPr>
        <w:spacing w:line="400" w:lineRule="exact"/>
        <w:ind w:firstLine="420" w:firstLineChars="200"/>
        <w:rPr>
          <w:rFonts w:ascii="Times New Roman" w:hAnsi="Times New Roman"/>
          <w:color w:val="000000"/>
          <w:highlight w:val="none"/>
        </w:rPr>
      </w:pPr>
      <w:bookmarkStart w:id="139" w:name="_Toc352691479"/>
      <w:r>
        <w:rPr>
          <w:rFonts w:ascii="Times New Roman" w:hAnsi="Times New Roman"/>
          <w:color w:val="000000"/>
          <w:highlight w:val="none"/>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2.2.2 招标文件的澄清以投标人须知前附表规定的形式发给所有</w:t>
      </w:r>
      <w:r>
        <w:rPr>
          <w:rFonts w:hint="eastAsia" w:ascii="Times New Roman" w:hAnsi="Times New Roman"/>
          <w:color w:val="000000"/>
          <w:highlight w:val="none"/>
          <w:lang w:eastAsia="zh-CN"/>
        </w:rPr>
        <w:t>获取招标文件</w:t>
      </w:r>
      <w:r>
        <w:rPr>
          <w:rFonts w:ascii="Times New Roman" w:hAnsi="Times New Roman"/>
          <w:color w:val="000000"/>
          <w:highlight w:val="none"/>
        </w:rPr>
        <w:t>的投标人，但不指明澄清问题的来源。澄清发出的时间距本章第4.2.1项规定的投标截止时间不足15日的，并且澄清内容可能影响投标文件编制的，将相应延长投标截止时间。</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2.2.3 投标人在收到澄清后，应按投标人须知前附表规定的时间和形式通知招标人，确认已收到该澄清。</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2.2.4 除非招标人认为确有必要答复，否则，招标人有权拒绝</w:t>
      </w:r>
      <w:bookmarkStart w:id="140" w:name="_Toc352691478"/>
      <w:bookmarkStart w:id="141" w:name="_Toc369531520"/>
      <w:bookmarkStart w:id="142" w:name="_Toc27980"/>
      <w:r>
        <w:rPr>
          <w:rFonts w:ascii="Times New Roman" w:hAnsi="Times New Roman"/>
          <w:color w:val="000000"/>
          <w:highlight w:val="none"/>
        </w:rPr>
        <w:t>回复投标人在</w:t>
      </w:r>
      <w:bookmarkEnd w:id="140"/>
      <w:bookmarkEnd w:id="141"/>
      <w:bookmarkEnd w:id="142"/>
      <w:r>
        <w:rPr>
          <w:rFonts w:hint="eastAsia" w:ascii="Times New Roman" w:hAnsi="Times New Roman"/>
          <w:color w:val="000000"/>
          <w:highlight w:val="none"/>
        </w:rPr>
        <w:t>本章第2.2.1项</w:t>
      </w:r>
      <w:r>
        <w:rPr>
          <w:rFonts w:ascii="Times New Roman" w:hAnsi="Times New Roman"/>
          <w:color w:val="000000"/>
          <w:highlight w:val="none"/>
        </w:rPr>
        <w:t>规定的时间后</w:t>
      </w:r>
      <w:r>
        <w:rPr>
          <w:rFonts w:hint="eastAsia" w:ascii="Times New Roman" w:hAnsi="Times New Roman"/>
          <w:color w:val="000000"/>
          <w:highlight w:val="none"/>
        </w:rPr>
        <w:t>提出</w:t>
      </w:r>
      <w:r>
        <w:rPr>
          <w:rFonts w:ascii="Times New Roman" w:hAnsi="Times New Roman"/>
          <w:color w:val="000000"/>
          <w:highlight w:val="none"/>
        </w:rPr>
        <w:t>的任何澄清要求。</w:t>
      </w:r>
    </w:p>
    <w:p>
      <w:pPr>
        <w:pStyle w:val="4"/>
        <w:spacing w:line="240" w:lineRule="auto"/>
        <w:ind w:firstLine="137"/>
        <w:rPr>
          <w:rFonts w:ascii="Times New Roman" w:hAnsi="Times New Roman"/>
          <w:color w:val="000000"/>
          <w:highlight w:val="none"/>
        </w:rPr>
      </w:pPr>
      <w:bookmarkStart w:id="143" w:name="_Toc1149285251"/>
      <w:r>
        <w:rPr>
          <w:rFonts w:ascii="Times New Roman" w:hAnsi="Times New Roman"/>
          <w:color w:val="000000"/>
          <w:highlight w:val="none"/>
        </w:rPr>
        <w:t>2.3 招标文件的修</w:t>
      </w:r>
      <w:bookmarkStart w:id="144" w:name="_Toc369531521"/>
      <w:bookmarkStart w:id="145" w:name="_Toc16514"/>
      <w:r>
        <w:rPr>
          <w:rFonts w:ascii="Times New Roman" w:hAnsi="Times New Roman"/>
          <w:color w:val="000000"/>
          <w:highlight w:val="none"/>
        </w:rPr>
        <w:t>改</w:t>
      </w:r>
      <w:bookmarkEnd w:id="143"/>
    </w:p>
    <w:bookmarkEnd w:id="139"/>
    <w:bookmarkEnd w:id="144"/>
    <w:bookmarkEnd w:id="145"/>
    <w:p>
      <w:pPr>
        <w:spacing w:line="400" w:lineRule="exact"/>
        <w:ind w:firstLine="420" w:firstLineChars="200"/>
        <w:rPr>
          <w:rFonts w:ascii="Times New Roman" w:hAnsi="Times New Roman"/>
          <w:color w:val="000000"/>
          <w:highlight w:val="none"/>
        </w:rPr>
      </w:pPr>
      <w:bookmarkStart w:id="146" w:name="_Toc152045540"/>
      <w:bookmarkStart w:id="147" w:name="_Toc361508595"/>
      <w:bookmarkStart w:id="148" w:name="_Toc352691484"/>
      <w:bookmarkStart w:id="149" w:name="_Toc144974508"/>
      <w:bookmarkStart w:id="150" w:name="_Toc247527564"/>
      <w:bookmarkStart w:id="151" w:name="_Toc300834960"/>
      <w:bookmarkStart w:id="152" w:name="_Toc152042316"/>
      <w:bookmarkStart w:id="153" w:name="_Toc384308220"/>
      <w:bookmarkStart w:id="154" w:name="_Toc247513963"/>
      <w:bookmarkStart w:id="155" w:name="_Toc16623"/>
      <w:bookmarkStart w:id="156" w:name="_Toc369531526"/>
      <w:r>
        <w:rPr>
          <w:rFonts w:ascii="Times New Roman" w:hAnsi="Times New Roman"/>
          <w:color w:val="000000"/>
          <w:highlight w:val="none"/>
        </w:rPr>
        <w:t>2.3.1 招标人以投标人须知前附表规定的形式修改招标文件，并通知所有已</w:t>
      </w:r>
      <w:r>
        <w:rPr>
          <w:rFonts w:hint="eastAsia" w:ascii="Times New Roman" w:hAnsi="Times New Roman"/>
          <w:color w:val="000000"/>
          <w:highlight w:val="none"/>
          <w:lang w:eastAsia="zh-CN"/>
        </w:rPr>
        <w:t>获取招标文件</w:t>
      </w:r>
      <w:r>
        <w:rPr>
          <w:rFonts w:ascii="Times New Roman" w:hAnsi="Times New Roman"/>
          <w:color w:val="000000"/>
          <w:highlight w:val="none"/>
        </w:rPr>
        <w:t>的投标人。修改招标文件的时间距本章第4.2.1项规定的投标截止时间不足15日的，并且修改内容可</w:t>
      </w:r>
      <w:bookmarkStart w:id="157" w:name="_Toc144974505"/>
      <w:bookmarkStart w:id="158" w:name="_Toc247527561"/>
      <w:bookmarkStart w:id="159" w:name="_Toc352691481"/>
      <w:bookmarkStart w:id="160" w:name="_Toc384308217"/>
      <w:bookmarkStart w:id="161" w:name="_Toc152045537"/>
      <w:bookmarkStart w:id="162" w:name="_Toc152042313"/>
      <w:bookmarkStart w:id="163" w:name="_Toc361508592"/>
      <w:bookmarkStart w:id="164" w:name="_Toc8349"/>
      <w:bookmarkStart w:id="165" w:name="_Toc247513960"/>
      <w:bookmarkStart w:id="166" w:name="_Toc300834957"/>
      <w:bookmarkStart w:id="167" w:name="_Toc369531523"/>
      <w:r>
        <w:rPr>
          <w:rFonts w:ascii="Times New Roman" w:hAnsi="Times New Roman"/>
          <w:color w:val="000000"/>
          <w:highlight w:val="none"/>
        </w:rPr>
        <w:t>能影响投标文</w:t>
      </w:r>
      <w:bookmarkEnd w:id="157"/>
      <w:r>
        <w:rPr>
          <w:rFonts w:ascii="Times New Roman" w:hAnsi="Times New Roman"/>
          <w:color w:val="000000"/>
          <w:highlight w:val="none"/>
        </w:rPr>
        <w:t>件编</w:t>
      </w:r>
      <w:bookmarkEnd w:id="158"/>
      <w:bookmarkEnd w:id="159"/>
      <w:bookmarkEnd w:id="160"/>
      <w:bookmarkEnd w:id="161"/>
      <w:bookmarkEnd w:id="162"/>
      <w:bookmarkEnd w:id="163"/>
      <w:bookmarkEnd w:id="164"/>
      <w:bookmarkEnd w:id="165"/>
      <w:bookmarkEnd w:id="166"/>
      <w:bookmarkEnd w:id="167"/>
      <w:r>
        <w:rPr>
          <w:rFonts w:ascii="Times New Roman" w:hAnsi="Times New Roman"/>
          <w:color w:val="000000"/>
          <w:highlight w:val="none"/>
        </w:rPr>
        <w:t>制的，将相应延长投标截止时间。</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2.3.2 投标人收到修改内容</w:t>
      </w:r>
      <w:bookmarkStart w:id="168" w:name="_Toc352691482"/>
      <w:bookmarkStart w:id="169" w:name="_Toc384308218"/>
      <w:bookmarkStart w:id="170" w:name="_Toc247513961"/>
      <w:bookmarkStart w:id="171" w:name="_Toc24632"/>
      <w:bookmarkStart w:id="172" w:name="_Toc152045538"/>
      <w:bookmarkStart w:id="173" w:name="_Toc369531524"/>
      <w:bookmarkStart w:id="174" w:name="_Toc361508593"/>
      <w:bookmarkStart w:id="175" w:name="_Toc247527562"/>
      <w:bookmarkStart w:id="176" w:name="_Toc144974506"/>
      <w:bookmarkStart w:id="177" w:name="_Toc152042314"/>
      <w:bookmarkStart w:id="178" w:name="_Toc300834958"/>
      <w:r>
        <w:rPr>
          <w:rFonts w:ascii="Times New Roman" w:hAnsi="Times New Roman"/>
          <w:color w:val="000000"/>
          <w:highlight w:val="none"/>
        </w:rPr>
        <w:t>后，</w:t>
      </w:r>
      <w:bookmarkEnd w:id="168"/>
      <w:bookmarkEnd w:id="169"/>
      <w:bookmarkEnd w:id="170"/>
      <w:bookmarkEnd w:id="171"/>
      <w:bookmarkEnd w:id="172"/>
      <w:bookmarkEnd w:id="173"/>
      <w:bookmarkEnd w:id="174"/>
      <w:bookmarkEnd w:id="175"/>
      <w:bookmarkEnd w:id="176"/>
      <w:bookmarkEnd w:id="177"/>
      <w:bookmarkEnd w:id="178"/>
      <w:r>
        <w:rPr>
          <w:rFonts w:ascii="Times New Roman" w:hAnsi="Times New Roman"/>
          <w:color w:val="000000"/>
          <w:highlight w:val="none"/>
        </w:rPr>
        <w:t>应按投标人须知前附表规定的时间和形式通知招标人，确认已收到该修改。</w:t>
      </w:r>
    </w:p>
    <w:p>
      <w:pPr>
        <w:pStyle w:val="4"/>
        <w:spacing w:line="240" w:lineRule="auto"/>
        <w:ind w:firstLine="137"/>
        <w:rPr>
          <w:rFonts w:ascii="Times New Roman" w:hAnsi="Times New Roman"/>
          <w:color w:val="000000"/>
          <w:highlight w:val="none"/>
        </w:rPr>
      </w:pPr>
      <w:bookmarkStart w:id="179" w:name="_Toc966146234"/>
      <w:r>
        <w:rPr>
          <w:rFonts w:ascii="Times New Roman" w:hAnsi="Times New Roman"/>
          <w:color w:val="000000"/>
          <w:highlight w:val="none"/>
        </w:rPr>
        <w:t>2.</w:t>
      </w:r>
      <w:bookmarkEnd w:id="146"/>
      <w:bookmarkEnd w:id="147"/>
      <w:bookmarkEnd w:id="148"/>
      <w:bookmarkEnd w:id="149"/>
      <w:bookmarkEnd w:id="150"/>
      <w:bookmarkEnd w:id="151"/>
      <w:bookmarkEnd w:id="152"/>
      <w:bookmarkEnd w:id="153"/>
      <w:bookmarkEnd w:id="154"/>
      <w:bookmarkEnd w:id="155"/>
      <w:bookmarkEnd w:id="156"/>
      <w:r>
        <w:rPr>
          <w:rFonts w:ascii="Times New Roman" w:hAnsi="Times New Roman"/>
          <w:color w:val="000000"/>
          <w:highlight w:val="none"/>
        </w:rPr>
        <w:t>4 招标文件的异议</w:t>
      </w:r>
      <w:bookmarkEnd w:id="179"/>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投标人或者其他利害关系人对招标文件有异议的，应当在投标截止时间10日前以书面形式提出。招标人将在收到异议之日起3日内作出答复；作出答复前，将暂停招标投标活动。</w:t>
      </w:r>
    </w:p>
    <w:p>
      <w:pPr>
        <w:pStyle w:val="3"/>
        <w:rPr>
          <w:rFonts w:ascii="Times New Roman" w:hAnsi="Times New Roman"/>
          <w:color w:val="000000"/>
          <w:highlight w:val="none"/>
        </w:rPr>
      </w:pPr>
      <w:bookmarkStart w:id="180" w:name="_Toc1817482"/>
      <w:r>
        <w:rPr>
          <w:rFonts w:ascii="Times New Roman" w:hAnsi="Times New Roman"/>
          <w:color w:val="000000"/>
          <w:highlight w:val="none"/>
        </w:rPr>
        <w:t>3. 投标文件</w:t>
      </w:r>
      <w:bookmarkEnd w:id="180"/>
    </w:p>
    <w:p>
      <w:pPr>
        <w:pStyle w:val="4"/>
        <w:spacing w:line="240" w:lineRule="auto"/>
        <w:ind w:firstLine="137"/>
        <w:rPr>
          <w:rFonts w:ascii="Times New Roman" w:hAnsi="Times New Roman"/>
          <w:color w:val="000000"/>
          <w:highlight w:val="none"/>
        </w:rPr>
      </w:pPr>
      <w:bookmarkStart w:id="181" w:name="_Toc417480278"/>
      <w:r>
        <w:rPr>
          <w:rFonts w:ascii="Times New Roman" w:hAnsi="Times New Roman"/>
          <w:color w:val="000000"/>
          <w:highlight w:val="none"/>
        </w:rPr>
        <w:t>3.1 投标文件的组成</w:t>
      </w:r>
      <w:bookmarkEnd w:id="181"/>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 xml:space="preserve">3.1.1 </w:t>
      </w:r>
      <w:r>
        <w:rPr>
          <w:rFonts w:hint="eastAsia" w:ascii="Times New Roman" w:hAnsi="Times New Roman"/>
          <w:color w:val="000000"/>
          <w:highlight w:val="none"/>
        </w:rPr>
        <w:t>投标文件应包括下列内容：</w:t>
      </w:r>
    </w:p>
    <w:p>
      <w:pPr>
        <w:spacing w:line="400" w:lineRule="exact"/>
        <w:ind w:firstLine="420" w:firstLineChars="200"/>
        <w:rPr>
          <w:rFonts w:ascii="Times New Roman" w:hAnsi="Times New Roman"/>
          <w:color w:val="000000"/>
          <w:highlight w:val="none"/>
        </w:rPr>
      </w:pPr>
      <w:r>
        <w:rPr>
          <w:rFonts w:ascii="Times New Roman" w:hAnsi="Times New Roman" w:eastAsia="宋体" w:cs="Times New Roman"/>
          <w:color w:val="000000"/>
          <w:szCs w:val="22"/>
          <w:highlight w:val="none"/>
        </w:rPr>
        <w:t>3.1.1.1</w:t>
      </w:r>
      <w:r>
        <w:rPr>
          <w:rFonts w:hint="eastAsia" w:ascii="Times New Roman" w:hAnsi="Times New Roman" w:eastAsia="宋体" w:cs="Times New Roman"/>
          <w:color w:val="000000"/>
          <w:szCs w:val="22"/>
          <w:highlight w:val="none"/>
        </w:rPr>
        <w:t>投标文件（商务标）：</w:t>
      </w:r>
    </w:p>
    <w:p>
      <w:pPr>
        <w:spacing w:line="400" w:lineRule="exact"/>
        <w:ind w:firstLine="420" w:firstLineChars="200"/>
        <w:rPr>
          <w:rFonts w:ascii="Times New Roman" w:hAnsi="Times New Roman"/>
          <w:color w:val="000000"/>
          <w:highlight w:val="none"/>
        </w:rPr>
      </w:pPr>
      <w:r>
        <w:rPr>
          <w:rFonts w:hint="eastAsia" w:ascii="Times New Roman" w:hAnsi="Times New Roman"/>
          <w:color w:val="000000"/>
          <w:highlight w:val="none"/>
        </w:rPr>
        <w:t>（</w:t>
      </w:r>
      <w:r>
        <w:rPr>
          <w:rFonts w:ascii="Times New Roman" w:hAnsi="Times New Roman"/>
          <w:color w:val="000000"/>
          <w:highlight w:val="none"/>
        </w:rPr>
        <w:t>1</w:t>
      </w:r>
      <w:r>
        <w:rPr>
          <w:rFonts w:hint="eastAsia" w:ascii="Times New Roman" w:hAnsi="Times New Roman"/>
          <w:color w:val="000000"/>
          <w:highlight w:val="none"/>
        </w:rPr>
        <w:t>）投标函；</w:t>
      </w:r>
    </w:p>
    <w:p>
      <w:pPr>
        <w:spacing w:line="400" w:lineRule="exact"/>
        <w:ind w:firstLine="420" w:firstLineChars="200"/>
        <w:rPr>
          <w:rFonts w:ascii="Times New Roman" w:hAnsi="Times New Roman"/>
          <w:color w:val="000000"/>
          <w:highlight w:val="none"/>
        </w:rPr>
      </w:pPr>
      <w:r>
        <w:rPr>
          <w:rFonts w:hint="eastAsia" w:ascii="Times New Roman" w:hAnsi="Times New Roman"/>
          <w:color w:val="000000"/>
          <w:highlight w:val="none"/>
        </w:rPr>
        <w:t>（</w:t>
      </w:r>
      <w:r>
        <w:rPr>
          <w:rFonts w:ascii="Times New Roman" w:hAnsi="Times New Roman"/>
          <w:color w:val="000000"/>
          <w:highlight w:val="none"/>
        </w:rPr>
        <w:t>2</w:t>
      </w:r>
      <w:r>
        <w:rPr>
          <w:rFonts w:hint="eastAsia" w:ascii="Times New Roman" w:hAnsi="Times New Roman"/>
          <w:color w:val="000000"/>
          <w:highlight w:val="none"/>
        </w:rPr>
        <w:t>）法定代表人（单位负责人）身份证明或授权委托书；</w:t>
      </w:r>
    </w:p>
    <w:p>
      <w:pPr>
        <w:spacing w:line="400" w:lineRule="exact"/>
        <w:ind w:firstLine="420" w:firstLineChars="200"/>
        <w:rPr>
          <w:rFonts w:ascii="Times New Roman" w:hAnsi="Times New Roman"/>
          <w:color w:val="000000"/>
          <w:highlight w:val="none"/>
        </w:rPr>
      </w:pPr>
      <w:r>
        <w:rPr>
          <w:rFonts w:hint="eastAsia" w:ascii="Times New Roman" w:hAnsi="Times New Roman"/>
          <w:color w:val="000000"/>
          <w:highlight w:val="none"/>
        </w:rPr>
        <w:t>（</w:t>
      </w:r>
      <w:r>
        <w:rPr>
          <w:rFonts w:ascii="Times New Roman" w:hAnsi="Times New Roman"/>
          <w:color w:val="000000"/>
          <w:highlight w:val="none"/>
        </w:rPr>
        <w:t>3</w:t>
      </w:r>
      <w:r>
        <w:rPr>
          <w:rFonts w:hint="eastAsia" w:ascii="Times New Roman" w:hAnsi="Times New Roman"/>
          <w:color w:val="000000"/>
          <w:highlight w:val="none"/>
        </w:rPr>
        <w:t>）联合体协议书；</w:t>
      </w:r>
    </w:p>
    <w:p>
      <w:pPr>
        <w:spacing w:line="400" w:lineRule="exact"/>
        <w:ind w:firstLine="420" w:firstLineChars="200"/>
        <w:rPr>
          <w:rFonts w:ascii="Times New Roman" w:hAnsi="Times New Roman"/>
          <w:color w:val="000000"/>
          <w:highlight w:val="none"/>
        </w:rPr>
      </w:pPr>
      <w:r>
        <w:rPr>
          <w:rFonts w:hint="eastAsia" w:ascii="Times New Roman" w:hAnsi="Times New Roman"/>
          <w:color w:val="000000"/>
          <w:highlight w:val="none"/>
        </w:rPr>
        <w:t>（</w:t>
      </w:r>
      <w:r>
        <w:rPr>
          <w:rFonts w:ascii="Times New Roman" w:hAnsi="Times New Roman"/>
          <w:color w:val="000000"/>
          <w:highlight w:val="none"/>
        </w:rPr>
        <w:t>4</w:t>
      </w:r>
      <w:r>
        <w:rPr>
          <w:rFonts w:hint="eastAsia" w:ascii="Times New Roman" w:hAnsi="Times New Roman"/>
          <w:color w:val="000000"/>
          <w:highlight w:val="none"/>
        </w:rPr>
        <w:t>）投标保证金；</w:t>
      </w:r>
    </w:p>
    <w:p>
      <w:pPr>
        <w:spacing w:line="400" w:lineRule="exact"/>
        <w:ind w:firstLine="420" w:firstLineChars="200"/>
        <w:rPr>
          <w:rFonts w:ascii="Times New Roman" w:hAnsi="Times New Roman"/>
          <w:color w:val="000000"/>
          <w:highlight w:val="none"/>
        </w:rPr>
      </w:pPr>
      <w:r>
        <w:rPr>
          <w:rFonts w:hint="eastAsia" w:ascii="Times New Roman" w:hAnsi="Times New Roman"/>
          <w:color w:val="000000"/>
          <w:highlight w:val="none"/>
        </w:rPr>
        <w:t>（</w:t>
      </w:r>
      <w:r>
        <w:rPr>
          <w:rFonts w:ascii="Times New Roman" w:hAnsi="Times New Roman"/>
          <w:color w:val="000000"/>
          <w:highlight w:val="none"/>
        </w:rPr>
        <w:t>5</w:t>
      </w:r>
      <w:r>
        <w:rPr>
          <w:rFonts w:hint="eastAsia" w:ascii="Times New Roman" w:hAnsi="Times New Roman"/>
          <w:color w:val="000000"/>
          <w:highlight w:val="none"/>
        </w:rPr>
        <w:t>）商务偏差表；</w:t>
      </w:r>
    </w:p>
    <w:p>
      <w:pPr>
        <w:spacing w:line="400" w:lineRule="exact"/>
        <w:ind w:firstLine="420" w:firstLineChars="200"/>
        <w:rPr>
          <w:rFonts w:ascii="Times New Roman" w:hAnsi="Times New Roman"/>
          <w:color w:val="000000"/>
          <w:highlight w:val="none"/>
        </w:rPr>
      </w:pPr>
      <w:r>
        <w:rPr>
          <w:rFonts w:hint="eastAsia" w:ascii="Times New Roman" w:hAnsi="Times New Roman"/>
          <w:color w:val="000000"/>
          <w:highlight w:val="none"/>
        </w:rPr>
        <w:t>（</w:t>
      </w:r>
      <w:r>
        <w:rPr>
          <w:rFonts w:ascii="Times New Roman" w:hAnsi="Times New Roman"/>
          <w:color w:val="000000"/>
          <w:highlight w:val="none"/>
        </w:rPr>
        <w:t>6</w:t>
      </w:r>
      <w:r>
        <w:rPr>
          <w:rFonts w:hint="eastAsia" w:ascii="Times New Roman" w:hAnsi="Times New Roman"/>
          <w:color w:val="000000"/>
          <w:highlight w:val="none"/>
        </w:rPr>
        <w:t>）分项报价表；</w:t>
      </w:r>
    </w:p>
    <w:p>
      <w:pPr>
        <w:spacing w:line="400" w:lineRule="exact"/>
        <w:ind w:firstLine="420" w:firstLineChars="200"/>
        <w:rPr>
          <w:rFonts w:ascii="Times New Roman" w:hAnsi="Times New Roman"/>
          <w:color w:val="000000"/>
          <w:highlight w:val="none"/>
        </w:rPr>
      </w:pPr>
      <w:r>
        <w:rPr>
          <w:rFonts w:hint="eastAsia" w:ascii="Times New Roman" w:hAnsi="Times New Roman"/>
          <w:color w:val="000000"/>
          <w:highlight w:val="none"/>
        </w:rPr>
        <w:t>（</w:t>
      </w:r>
      <w:r>
        <w:rPr>
          <w:rFonts w:ascii="Times New Roman" w:hAnsi="Times New Roman"/>
          <w:color w:val="000000"/>
          <w:highlight w:val="none"/>
        </w:rPr>
        <w:t>7</w:t>
      </w:r>
      <w:r>
        <w:rPr>
          <w:rFonts w:hint="eastAsia" w:ascii="Times New Roman" w:hAnsi="Times New Roman"/>
          <w:color w:val="000000"/>
          <w:highlight w:val="none"/>
        </w:rPr>
        <w:t>）资格审查资料；</w:t>
      </w:r>
    </w:p>
    <w:p>
      <w:pPr>
        <w:spacing w:line="400" w:lineRule="exact"/>
        <w:ind w:firstLine="420" w:firstLineChars="200"/>
        <w:rPr>
          <w:rFonts w:ascii="Times New Roman" w:hAnsi="Times New Roman"/>
          <w:color w:val="000000"/>
          <w:highlight w:val="none"/>
        </w:rPr>
      </w:pPr>
      <w:r>
        <w:rPr>
          <w:rFonts w:hint="eastAsia" w:ascii="Times New Roman" w:hAnsi="Times New Roman"/>
          <w:color w:val="000000"/>
          <w:highlight w:val="none"/>
        </w:rPr>
        <w:t>（</w:t>
      </w:r>
      <w:r>
        <w:rPr>
          <w:rFonts w:ascii="Times New Roman" w:hAnsi="Times New Roman"/>
          <w:color w:val="000000"/>
          <w:highlight w:val="none"/>
        </w:rPr>
        <w:t>8</w:t>
      </w:r>
      <w:r>
        <w:rPr>
          <w:rFonts w:hint="eastAsia" w:ascii="Times New Roman" w:hAnsi="Times New Roman"/>
          <w:color w:val="000000"/>
          <w:highlight w:val="none"/>
        </w:rPr>
        <w:t>）投标人须知前附表规定的其他资料。</w:t>
      </w:r>
    </w:p>
    <w:p>
      <w:pPr>
        <w:spacing w:line="400" w:lineRule="exact"/>
        <w:ind w:firstLine="420" w:firstLineChars="200"/>
        <w:rPr>
          <w:rFonts w:ascii="Times New Roman" w:hAnsi="Times New Roman" w:eastAsia="宋体" w:cs="Times New Roman"/>
          <w:color w:val="000000"/>
          <w:szCs w:val="22"/>
          <w:highlight w:val="none"/>
        </w:rPr>
      </w:pPr>
      <w:r>
        <w:rPr>
          <w:rFonts w:ascii="Times New Roman" w:hAnsi="Times New Roman" w:eastAsia="宋体" w:cs="Times New Roman"/>
          <w:color w:val="000000"/>
          <w:szCs w:val="22"/>
          <w:highlight w:val="none"/>
        </w:rPr>
        <w:t>3.1.1.2</w:t>
      </w:r>
      <w:r>
        <w:rPr>
          <w:rFonts w:hint="eastAsia" w:ascii="Times New Roman" w:hAnsi="Times New Roman" w:eastAsia="宋体" w:cs="Times New Roman"/>
          <w:color w:val="000000"/>
          <w:szCs w:val="22"/>
          <w:highlight w:val="none"/>
        </w:rPr>
        <w:t>投标文件（技术标）：</w:t>
      </w:r>
    </w:p>
    <w:p>
      <w:pPr>
        <w:spacing w:line="400" w:lineRule="exact"/>
        <w:ind w:firstLine="420" w:firstLineChars="200"/>
        <w:rPr>
          <w:rFonts w:ascii="Times New Roman" w:hAnsi="Times New Roman"/>
          <w:color w:val="000000"/>
          <w:highlight w:val="none"/>
        </w:rPr>
      </w:pPr>
      <w:r>
        <w:rPr>
          <w:rFonts w:hint="eastAsia" w:ascii="Times New Roman" w:hAnsi="Times New Roman"/>
          <w:color w:val="000000"/>
          <w:highlight w:val="none"/>
        </w:rPr>
        <w:t>（</w:t>
      </w:r>
      <w:r>
        <w:rPr>
          <w:rFonts w:ascii="Times New Roman" w:hAnsi="Times New Roman"/>
          <w:color w:val="000000"/>
          <w:highlight w:val="none"/>
        </w:rPr>
        <w:t>1</w:t>
      </w:r>
      <w:r>
        <w:rPr>
          <w:rFonts w:hint="eastAsia" w:ascii="Times New Roman" w:hAnsi="Times New Roman"/>
          <w:color w:val="000000"/>
          <w:highlight w:val="none"/>
        </w:rPr>
        <w:t>）技术偏差表；</w:t>
      </w:r>
    </w:p>
    <w:p>
      <w:pPr>
        <w:spacing w:line="400" w:lineRule="exact"/>
        <w:ind w:firstLine="420" w:firstLineChars="200"/>
        <w:rPr>
          <w:rFonts w:ascii="Times New Roman" w:hAnsi="Times New Roman"/>
          <w:color w:val="000000"/>
          <w:highlight w:val="none"/>
        </w:rPr>
      </w:pPr>
      <w:r>
        <w:rPr>
          <w:rFonts w:hint="eastAsia" w:ascii="Times New Roman" w:hAnsi="Times New Roman"/>
          <w:color w:val="000000"/>
          <w:highlight w:val="none"/>
        </w:rPr>
        <w:t>（</w:t>
      </w:r>
      <w:r>
        <w:rPr>
          <w:rFonts w:ascii="Times New Roman" w:hAnsi="Times New Roman"/>
          <w:color w:val="000000"/>
          <w:highlight w:val="none"/>
        </w:rPr>
        <w:t>2</w:t>
      </w:r>
      <w:r>
        <w:rPr>
          <w:rFonts w:hint="eastAsia" w:ascii="Times New Roman" w:hAnsi="Times New Roman"/>
          <w:color w:val="000000"/>
          <w:highlight w:val="none"/>
        </w:rPr>
        <w:t>）投标材料质量标准的详细描述；</w:t>
      </w:r>
    </w:p>
    <w:p>
      <w:pPr>
        <w:spacing w:line="400" w:lineRule="exact"/>
        <w:ind w:firstLine="420" w:firstLineChars="200"/>
        <w:rPr>
          <w:rFonts w:ascii="Times New Roman" w:hAnsi="Times New Roman"/>
          <w:color w:val="000000"/>
          <w:highlight w:val="none"/>
        </w:rPr>
      </w:pPr>
      <w:r>
        <w:rPr>
          <w:rFonts w:hint="eastAsia" w:ascii="Times New Roman" w:hAnsi="Times New Roman"/>
          <w:color w:val="000000"/>
          <w:highlight w:val="none"/>
        </w:rPr>
        <w:t>（</w:t>
      </w:r>
      <w:r>
        <w:rPr>
          <w:rFonts w:ascii="Times New Roman" w:hAnsi="Times New Roman"/>
          <w:color w:val="000000"/>
          <w:highlight w:val="none"/>
        </w:rPr>
        <w:t>3</w:t>
      </w:r>
      <w:r>
        <w:rPr>
          <w:rFonts w:hint="eastAsia" w:ascii="Times New Roman" w:hAnsi="Times New Roman"/>
          <w:color w:val="000000"/>
          <w:highlight w:val="none"/>
        </w:rPr>
        <w:t>）技术支持资料；</w:t>
      </w:r>
    </w:p>
    <w:p>
      <w:pPr>
        <w:spacing w:line="400" w:lineRule="exact"/>
        <w:ind w:firstLine="420" w:firstLineChars="200"/>
        <w:rPr>
          <w:rFonts w:ascii="Times New Roman" w:hAnsi="Times New Roman"/>
          <w:color w:val="000000"/>
          <w:highlight w:val="none"/>
        </w:rPr>
      </w:pPr>
      <w:r>
        <w:rPr>
          <w:rFonts w:hint="eastAsia" w:ascii="Times New Roman" w:hAnsi="Times New Roman"/>
          <w:color w:val="000000"/>
          <w:highlight w:val="none"/>
        </w:rPr>
        <w:t>（</w:t>
      </w:r>
      <w:r>
        <w:rPr>
          <w:rFonts w:ascii="Times New Roman" w:hAnsi="Times New Roman"/>
          <w:color w:val="000000"/>
          <w:highlight w:val="none"/>
        </w:rPr>
        <w:t>4</w:t>
      </w:r>
      <w:r>
        <w:rPr>
          <w:rFonts w:hint="eastAsia" w:ascii="Times New Roman" w:hAnsi="Times New Roman"/>
          <w:color w:val="000000"/>
          <w:highlight w:val="none"/>
        </w:rPr>
        <w:t>）相关服务计划；</w:t>
      </w:r>
    </w:p>
    <w:p>
      <w:pPr>
        <w:spacing w:line="400" w:lineRule="exact"/>
        <w:ind w:firstLine="420" w:firstLineChars="200"/>
        <w:rPr>
          <w:rFonts w:ascii="Times New Roman" w:hAnsi="Times New Roman"/>
          <w:color w:val="000000"/>
          <w:highlight w:val="none"/>
        </w:rPr>
      </w:pPr>
      <w:r>
        <w:rPr>
          <w:rFonts w:hint="eastAsia" w:ascii="Times New Roman" w:hAnsi="Times New Roman"/>
          <w:color w:val="000000"/>
          <w:highlight w:val="none"/>
        </w:rPr>
        <w:t>（5）投标人须知前附表规定的其他资料。</w:t>
      </w:r>
    </w:p>
    <w:p>
      <w:pPr>
        <w:spacing w:line="400" w:lineRule="exact"/>
        <w:ind w:firstLine="420" w:firstLineChars="200"/>
        <w:rPr>
          <w:rFonts w:ascii="Times New Roman" w:hAnsi="Times New Roman"/>
          <w:highlight w:val="none"/>
        </w:rPr>
      </w:pPr>
      <w:r>
        <w:rPr>
          <w:rFonts w:ascii="Times New Roman" w:hAnsi="Times New Roman"/>
          <w:highlight w:val="none"/>
        </w:rPr>
        <w:t>投标人在评标过程中作出的符合法律法规和招标文件规定的澄清确认，构成投标文件的组成部分。</w:t>
      </w:r>
    </w:p>
    <w:p>
      <w:pPr>
        <w:spacing w:line="400" w:lineRule="exact"/>
        <w:ind w:firstLine="359" w:firstLineChars="171"/>
        <w:rPr>
          <w:rFonts w:ascii="Times New Roman" w:hAnsi="Times New Roman"/>
          <w:highlight w:val="none"/>
        </w:rPr>
      </w:pPr>
      <w:r>
        <w:rPr>
          <w:rFonts w:ascii="Times New Roman" w:hAnsi="Times New Roman"/>
          <w:highlight w:val="none"/>
        </w:rPr>
        <w:t>3.1.2 投标人须知前附表规定不接受联合体投标的，或投标人没有组成联合体的，投标文件不包括本章第3.1.1（3）目所指的联合体协议书。</w:t>
      </w:r>
    </w:p>
    <w:p>
      <w:pPr>
        <w:spacing w:line="400" w:lineRule="exact"/>
        <w:ind w:firstLine="359" w:firstLineChars="171"/>
        <w:rPr>
          <w:rFonts w:ascii="Times New Roman" w:hAnsi="Times New Roman"/>
          <w:color w:val="000000"/>
          <w:highlight w:val="none"/>
        </w:rPr>
      </w:pPr>
      <w:r>
        <w:rPr>
          <w:rFonts w:ascii="Times New Roman" w:hAnsi="Times New Roman"/>
          <w:highlight w:val="none"/>
        </w:rPr>
        <w:t>3.1.3 投标人须知前附表未要求提交投标保证金的，投标文件不包括本章第3.1.1（4）目所指的投标保证金。</w:t>
      </w:r>
    </w:p>
    <w:p>
      <w:pPr>
        <w:pStyle w:val="4"/>
        <w:spacing w:line="240" w:lineRule="auto"/>
        <w:ind w:firstLine="137"/>
        <w:rPr>
          <w:rFonts w:ascii="Times New Roman" w:hAnsi="Times New Roman"/>
          <w:color w:val="000000"/>
          <w:highlight w:val="none"/>
        </w:rPr>
      </w:pPr>
      <w:bookmarkStart w:id="182" w:name="_Toc712932923"/>
      <w:r>
        <w:rPr>
          <w:rFonts w:ascii="Times New Roman" w:hAnsi="Times New Roman"/>
          <w:color w:val="000000"/>
          <w:highlight w:val="none"/>
        </w:rPr>
        <w:t>3.2 投标报价</w:t>
      </w:r>
      <w:bookmarkEnd w:id="182"/>
    </w:p>
    <w:p>
      <w:pPr>
        <w:spacing w:line="400" w:lineRule="exact"/>
        <w:ind w:firstLine="420" w:firstLineChars="200"/>
        <w:rPr>
          <w:rFonts w:ascii="Times New Roman" w:hAnsi="Times New Roman"/>
          <w:highlight w:val="none"/>
        </w:rPr>
      </w:pPr>
      <w:r>
        <w:rPr>
          <w:rFonts w:ascii="Times New Roman" w:hAnsi="Times New Roman"/>
          <w:highlight w:val="none"/>
        </w:rPr>
        <w:t>3.2.1</w:t>
      </w:r>
      <w:r>
        <w:rPr>
          <w:rFonts w:hint="eastAsia" w:ascii="Times New Roman" w:hAnsi="Times New Roman"/>
          <w:highlight w:val="none"/>
        </w:rPr>
        <w:t xml:space="preserve"> </w:t>
      </w:r>
      <w:r>
        <w:rPr>
          <w:rFonts w:ascii="Times New Roman" w:hAnsi="Times New Roman"/>
          <w:highlight w:val="none"/>
        </w:rPr>
        <w:t>投标报价应包括国家规定的增值税税金，除投标人须知前附表另有规定外，增值税税金按一般计税方法计算。投标人应按第六章“投标文件格式”的要求在投标函中进行报价并填写分项报价表。</w:t>
      </w:r>
    </w:p>
    <w:p>
      <w:pPr>
        <w:spacing w:line="400" w:lineRule="exact"/>
        <w:ind w:firstLine="420" w:firstLineChars="200"/>
        <w:rPr>
          <w:rFonts w:ascii="Times New Roman" w:hAnsi="Times New Roman"/>
          <w:highlight w:val="none"/>
        </w:rPr>
      </w:pPr>
      <w:r>
        <w:rPr>
          <w:rFonts w:ascii="Times New Roman" w:hAnsi="Times New Roman"/>
          <w:highlight w:val="none"/>
        </w:rPr>
        <w:t>3.2.2 投标人应充分了解该项目的总体情况以及影响投标报价的其他要素。</w:t>
      </w:r>
    </w:p>
    <w:p>
      <w:pPr>
        <w:spacing w:line="400" w:lineRule="exact"/>
        <w:ind w:firstLine="420" w:firstLineChars="200"/>
        <w:rPr>
          <w:rFonts w:ascii="Times New Roman" w:hAnsi="Times New Roman"/>
          <w:highlight w:val="none"/>
        </w:rPr>
      </w:pPr>
      <w:r>
        <w:rPr>
          <w:rFonts w:ascii="Times New Roman" w:hAnsi="Times New Roman"/>
          <w:highlight w:val="none"/>
        </w:rPr>
        <w:t>3.2.3</w:t>
      </w:r>
      <w:bookmarkStart w:id="183" w:name="_Toc247513967"/>
      <w:bookmarkEnd w:id="183"/>
      <w:bookmarkStart w:id="184" w:name="_Toc15242"/>
      <w:bookmarkEnd w:id="184"/>
      <w:bookmarkStart w:id="185" w:name="_Toc369531530"/>
      <w:bookmarkEnd w:id="185"/>
      <w:bookmarkStart w:id="186" w:name="_Toc300834964"/>
      <w:bookmarkEnd w:id="186"/>
      <w:bookmarkStart w:id="187" w:name="_Toc384308224"/>
      <w:bookmarkEnd w:id="187"/>
      <w:bookmarkStart w:id="188" w:name="_Toc352691487"/>
      <w:bookmarkEnd w:id="188"/>
      <w:bookmarkStart w:id="189" w:name="_Toc152042319"/>
      <w:bookmarkEnd w:id="189"/>
      <w:bookmarkStart w:id="190" w:name="_Toc247527568"/>
      <w:bookmarkEnd w:id="190"/>
      <w:bookmarkStart w:id="191" w:name="_Toc361508599"/>
      <w:bookmarkEnd w:id="191"/>
      <w:bookmarkStart w:id="192" w:name="_Toc144974511"/>
      <w:bookmarkEnd w:id="192"/>
      <w:bookmarkStart w:id="193" w:name="_Toc152045543"/>
      <w:bookmarkEnd w:id="193"/>
      <w:r>
        <w:rPr>
          <w:rFonts w:ascii="Times New Roman" w:hAnsi="Times New Roman"/>
          <w:color w:val="000000"/>
          <w:highlight w:val="none"/>
        </w:rPr>
        <w:t>投标报价为各分项报价金额之和，投标报价与分项报价的合价不一致的，应以各分项合价累计数为准，修正投标报价；</w:t>
      </w:r>
      <w:r>
        <w:rPr>
          <w:rFonts w:ascii="Times New Roman" w:hAnsi="Times New Roman"/>
          <w:highlight w:val="none"/>
        </w:rPr>
        <w:t>如分项</w:t>
      </w:r>
      <w:r>
        <w:rPr>
          <w:rFonts w:ascii="Times New Roman" w:hAnsi="Times New Roman"/>
          <w:color w:val="000000"/>
          <w:highlight w:val="none"/>
        </w:rPr>
        <w:t>报价中存在缺漏项，则视为缺漏项价格已包含在其他分项报价之中。</w:t>
      </w:r>
      <w:r>
        <w:rPr>
          <w:rFonts w:ascii="Times New Roman" w:hAnsi="Times New Roman"/>
          <w:highlight w:val="none"/>
        </w:rPr>
        <w:t>投标人在投标截止时间前修改投标函中的投标报价总额，应同时修改投标文件“分项报价表”中的相应报价。此修改须符合本章第4.3款的有关要求。</w:t>
      </w:r>
    </w:p>
    <w:p>
      <w:pPr>
        <w:spacing w:line="400" w:lineRule="exact"/>
        <w:ind w:firstLine="420" w:firstLineChars="200"/>
        <w:rPr>
          <w:rFonts w:ascii="Times New Roman" w:hAnsi="Times New Roman"/>
          <w:color w:val="000000"/>
          <w:highlight w:val="none"/>
        </w:rPr>
      </w:pPr>
      <w:r>
        <w:rPr>
          <w:rFonts w:ascii="Times New Roman" w:hAnsi="Times New Roman"/>
          <w:highlight w:val="none"/>
        </w:rPr>
        <w:t>3.2.4</w:t>
      </w:r>
      <w:r>
        <w:rPr>
          <w:rFonts w:hint="eastAsia" w:ascii="Times New Roman" w:hAnsi="Times New Roman"/>
          <w:highlight w:val="none"/>
        </w:rPr>
        <w:t xml:space="preserve"> </w:t>
      </w:r>
      <w:r>
        <w:rPr>
          <w:rFonts w:ascii="Times New Roman" w:hAnsi="Times New Roman"/>
          <w:highlight w:val="none"/>
        </w:rPr>
        <w:t>招标人设有最高投标限价的，投标人的投标报价不得超过最高投标限价，最高投标限价在投标</w:t>
      </w:r>
      <w:bookmarkStart w:id="194" w:name="_Toc10429"/>
      <w:bookmarkStart w:id="195" w:name="_Toc152042320"/>
      <w:bookmarkStart w:id="196" w:name="_Toc144974512"/>
      <w:bookmarkStart w:id="197" w:name="_Toc352691488"/>
      <w:bookmarkStart w:id="198" w:name="_Toc361508600"/>
      <w:bookmarkStart w:id="199" w:name="_Toc300834965"/>
      <w:bookmarkStart w:id="200" w:name="_Toc384308225"/>
      <w:bookmarkStart w:id="201" w:name="_Toc247527569"/>
      <w:bookmarkStart w:id="202" w:name="_Toc369531531"/>
      <w:bookmarkStart w:id="203" w:name="_Toc152045544"/>
      <w:bookmarkStart w:id="204" w:name="_Toc247513968"/>
      <w:r>
        <w:rPr>
          <w:rFonts w:ascii="Times New Roman" w:hAnsi="Times New Roman"/>
          <w:highlight w:val="none"/>
        </w:rPr>
        <w:t>人须知前附表中载明。</w:t>
      </w:r>
      <w:bookmarkEnd w:id="194"/>
      <w:bookmarkEnd w:id="195"/>
      <w:bookmarkEnd w:id="196"/>
      <w:bookmarkEnd w:id="197"/>
      <w:bookmarkEnd w:id="198"/>
      <w:bookmarkEnd w:id="199"/>
      <w:bookmarkEnd w:id="200"/>
      <w:bookmarkEnd w:id="201"/>
      <w:bookmarkEnd w:id="202"/>
      <w:bookmarkEnd w:id="203"/>
      <w:bookmarkEnd w:id="204"/>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3.2.</w:t>
      </w:r>
      <w:r>
        <w:rPr>
          <w:rFonts w:hint="eastAsia" w:ascii="Times New Roman" w:hAnsi="Times New Roman"/>
          <w:color w:val="000000"/>
          <w:highlight w:val="none"/>
        </w:rPr>
        <w:t>5</w:t>
      </w:r>
      <w:r>
        <w:rPr>
          <w:rFonts w:ascii="Times New Roman" w:hAnsi="Times New Roman"/>
          <w:color w:val="000000"/>
          <w:highlight w:val="none"/>
        </w:rPr>
        <w:t xml:space="preserve"> 投标报价的其他要求见投标人须知前附表。</w:t>
      </w:r>
    </w:p>
    <w:p>
      <w:pPr>
        <w:pStyle w:val="4"/>
        <w:spacing w:line="240" w:lineRule="auto"/>
        <w:ind w:firstLine="137"/>
        <w:rPr>
          <w:rFonts w:ascii="Times New Roman" w:hAnsi="Times New Roman"/>
          <w:color w:val="000000"/>
          <w:highlight w:val="none"/>
        </w:rPr>
      </w:pPr>
      <w:bookmarkStart w:id="205" w:name="_Toc192427047"/>
      <w:r>
        <w:rPr>
          <w:rFonts w:ascii="Times New Roman" w:hAnsi="Times New Roman"/>
          <w:color w:val="000000"/>
          <w:highlight w:val="none"/>
        </w:rPr>
        <w:t>3.3 投标有效期</w:t>
      </w:r>
      <w:bookmarkEnd w:id="205"/>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3.3.1 除</w:t>
      </w:r>
      <w:r>
        <w:rPr>
          <w:rFonts w:ascii="Times New Roman" w:hAnsi="Times New Roman"/>
          <w:highlight w:val="none"/>
        </w:rPr>
        <w:t>投标人须知前附表另有规定外，投标有效期为90</w:t>
      </w:r>
      <w:r>
        <w:rPr>
          <w:rFonts w:hint="eastAsia" w:ascii="Times New Roman" w:hAnsi="Times New Roman"/>
          <w:highlight w:val="none"/>
        </w:rPr>
        <w:t>日</w:t>
      </w:r>
      <w:r>
        <w:rPr>
          <w:rFonts w:ascii="Times New Roman" w:hAnsi="Times New Roman"/>
          <w:color w:val="000000"/>
          <w:highlight w:val="none"/>
        </w:rPr>
        <w:t>。</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3.3.2 在投标有效期内，投标人撤销投标文件的，应承担招标文件和法律规定的责任。</w:t>
      </w:r>
    </w:p>
    <w:p>
      <w:pPr>
        <w:spacing w:line="400" w:lineRule="exact"/>
        <w:ind w:firstLine="420" w:firstLineChars="200"/>
        <w:rPr>
          <w:rFonts w:ascii="Times New Roman" w:hAnsi="Times New Roman"/>
          <w:highlight w:val="none"/>
        </w:rPr>
      </w:pPr>
      <w:r>
        <w:rPr>
          <w:rFonts w:ascii="Times New Roman" w:hAnsi="Times New Roman"/>
          <w:color w:val="000000"/>
          <w:highlight w:val="none"/>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w:t>
      </w:r>
      <w:r>
        <w:rPr>
          <w:rFonts w:ascii="Times New Roman" w:hAnsi="Times New Roman"/>
          <w:highlight w:val="none"/>
        </w:rPr>
        <w:t>人有权收回其投标保证金及以现金或者支票形式递交的投标保证金的银行同期存款利息。</w:t>
      </w:r>
    </w:p>
    <w:p>
      <w:pPr>
        <w:pStyle w:val="4"/>
        <w:spacing w:line="240" w:lineRule="auto"/>
        <w:ind w:firstLine="137"/>
        <w:rPr>
          <w:rFonts w:ascii="Times New Roman" w:hAnsi="Times New Roman"/>
          <w:color w:val="000000"/>
          <w:highlight w:val="none"/>
        </w:rPr>
      </w:pPr>
      <w:bookmarkStart w:id="206" w:name="_Toc2044984872"/>
      <w:r>
        <w:rPr>
          <w:rFonts w:ascii="Times New Roman" w:hAnsi="Times New Roman"/>
          <w:color w:val="000000"/>
          <w:highlight w:val="none"/>
        </w:rPr>
        <w:t>3.4 投标保证金</w:t>
      </w:r>
      <w:bookmarkEnd w:id="206"/>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3.4.1 投标人在递交投标文件的同时，应按投标人须知前附表规定的金额</w:t>
      </w:r>
      <w:bookmarkStart w:id="207" w:name="_Toc361508601"/>
      <w:bookmarkStart w:id="208" w:name="_Toc152042321"/>
      <w:bookmarkStart w:id="209" w:name="_Toc384308226"/>
      <w:bookmarkStart w:id="210" w:name="_Toc352691489"/>
      <w:bookmarkStart w:id="211" w:name="_Toc247527570"/>
      <w:bookmarkStart w:id="212" w:name="_Toc4592"/>
      <w:bookmarkStart w:id="213" w:name="_Toc247513969"/>
      <w:bookmarkStart w:id="214" w:name="_Toc300834966"/>
      <w:bookmarkStart w:id="215" w:name="_Toc369531532"/>
      <w:bookmarkStart w:id="216" w:name="_Toc144974513"/>
      <w:bookmarkStart w:id="217" w:name="_Toc152045545"/>
      <w:r>
        <w:rPr>
          <w:rFonts w:ascii="Times New Roman" w:hAnsi="Times New Roman"/>
          <w:color w:val="000000"/>
          <w:highlight w:val="none"/>
        </w:rPr>
        <w:t>、形式和第六章“投标文</w:t>
      </w:r>
      <w:bookmarkEnd w:id="207"/>
      <w:bookmarkEnd w:id="208"/>
      <w:bookmarkEnd w:id="209"/>
      <w:bookmarkEnd w:id="210"/>
      <w:bookmarkEnd w:id="211"/>
      <w:bookmarkEnd w:id="212"/>
      <w:bookmarkEnd w:id="213"/>
      <w:bookmarkEnd w:id="214"/>
      <w:bookmarkEnd w:id="215"/>
      <w:bookmarkEnd w:id="216"/>
      <w:bookmarkEnd w:id="217"/>
      <w:r>
        <w:rPr>
          <w:rFonts w:ascii="Times New Roman" w:hAnsi="Times New Roman"/>
          <w:color w:val="000000"/>
          <w:highlight w:val="none"/>
        </w:rPr>
        <w:t>件格式”规定的投标保证金格式递交投标保证金，并作为其投标文件的组成部分。境内投标人以现金或者支票形式提交的投标保证金，应当从其基本账户转出并在投标文件中附上基本账户开户证明。联合体投标的，其投标保证金可以由牵头人递交，并应符合投标人须知前附表的规定。</w:t>
      </w:r>
    </w:p>
    <w:p>
      <w:pPr>
        <w:spacing w:line="400" w:lineRule="exact"/>
        <w:ind w:firstLine="420" w:firstLineChars="200"/>
        <w:jc w:val="left"/>
        <w:rPr>
          <w:rFonts w:ascii="Times New Roman" w:hAnsi="Times New Roman"/>
          <w:color w:val="000000"/>
          <w:highlight w:val="none"/>
        </w:rPr>
      </w:pPr>
      <w:r>
        <w:rPr>
          <w:rFonts w:ascii="Times New Roman" w:hAnsi="Times New Roman"/>
          <w:color w:val="000000"/>
          <w:highlight w:val="none"/>
        </w:rPr>
        <w:t>3.4.2 投标人不按本章第3.4.1项</w:t>
      </w:r>
      <w:bookmarkStart w:id="218" w:name="_Toc352691490"/>
      <w:bookmarkStart w:id="219" w:name="_Toc361508602"/>
      <w:bookmarkStart w:id="220" w:name="_Toc369531533"/>
      <w:bookmarkStart w:id="221" w:name="_Toc384308227"/>
      <w:bookmarkStart w:id="222" w:name="_Toc29025"/>
      <w:r>
        <w:rPr>
          <w:rFonts w:ascii="Times New Roman" w:hAnsi="Times New Roman"/>
          <w:color w:val="000000"/>
          <w:highlight w:val="none"/>
        </w:rPr>
        <w:t>要求提交投标保证金的，</w:t>
      </w:r>
      <w:bookmarkEnd w:id="218"/>
      <w:bookmarkEnd w:id="219"/>
      <w:bookmarkEnd w:id="220"/>
      <w:bookmarkEnd w:id="221"/>
      <w:bookmarkEnd w:id="222"/>
      <w:r>
        <w:rPr>
          <w:rFonts w:ascii="Times New Roman" w:hAnsi="Times New Roman"/>
          <w:color w:val="000000"/>
          <w:highlight w:val="none"/>
        </w:rPr>
        <w:t>评标委员会将否决其投标。</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3.4.3 招标人最迟将在与中标人</w:t>
      </w:r>
      <w:bookmarkStart w:id="223" w:name="_Toc152042322"/>
      <w:bookmarkStart w:id="224" w:name="_Toc152045546"/>
      <w:bookmarkStart w:id="225" w:name="_Toc300834967"/>
      <w:bookmarkStart w:id="226" w:name="_Toc369531534"/>
      <w:bookmarkStart w:id="227" w:name="_Toc352691491"/>
      <w:bookmarkStart w:id="228" w:name="_Toc247513970"/>
      <w:bookmarkStart w:id="229" w:name="_Toc361508603"/>
      <w:bookmarkStart w:id="230" w:name="_Toc14751"/>
      <w:bookmarkStart w:id="231" w:name="_Toc247527571"/>
      <w:bookmarkStart w:id="232" w:name="_Toc144974514"/>
      <w:bookmarkStart w:id="233" w:name="_Toc384308228"/>
      <w:r>
        <w:rPr>
          <w:rFonts w:ascii="Times New Roman" w:hAnsi="Times New Roman"/>
          <w:color w:val="000000"/>
          <w:highlight w:val="none"/>
        </w:rPr>
        <w:t>签订合同后5日</w:t>
      </w:r>
      <w:bookmarkEnd w:id="223"/>
      <w:bookmarkEnd w:id="224"/>
      <w:bookmarkEnd w:id="225"/>
      <w:bookmarkEnd w:id="226"/>
      <w:bookmarkEnd w:id="227"/>
      <w:bookmarkEnd w:id="228"/>
      <w:bookmarkEnd w:id="229"/>
      <w:bookmarkEnd w:id="230"/>
      <w:bookmarkEnd w:id="231"/>
      <w:bookmarkEnd w:id="232"/>
      <w:bookmarkEnd w:id="233"/>
      <w:r>
        <w:rPr>
          <w:rFonts w:ascii="Times New Roman" w:hAnsi="Times New Roman"/>
          <w:color w:val="000000"/>
          <w:highlight w:val="none"/>
        </w:rPr>
        <w:t>内</w:t>
      </w:r>
      <w:bookmarkStart w:id="234" w:name="_Toc17952"/>
      <w:bookmarkStart w:id="235" w:name="_Toc247513971"/>
      <w:bookmarkStart w:id="236" w:name="_Toc152042323"/>
      <w:bookmarkStart w:id="237" w:name="_Toc361508604"/>
      <w:bookmarkStart w:id="238" w:name="_Toc144974515"/>
      <w:bookmarkStart w:id="239" w:name="_Toc352691492"/>
      <w:bookmarkStart w:id="240" w:name="_Toc300834968"/>
      <w:bookmarkStart w:id="241" w:name="_Toc247527572"/>
      <w:bookmarkStart w:id="242" w:name="_Toc152045547"/>
      <w:bookmarkStart w:id="243" w:name="_Toc384308229"/>
      <w:bookmarkStart w:id="244" w:name="_Toc369531535"/>
      <w:r>
        <w:rPr>
          <w:rFonts w:ascii="Times New Roman" w:hAnsi="Times New Roman"/>
          <w:color w:val="000000"/>
          <w:highlight w:val="none"/>
        </w:rPr>
        <w:t>，向未中标的投标人和中</w:t>
      </w:r>
      <w:bookmarkEnd w:id="234"/>
      <w:bookmarkEnd w:id="235"/>
      <w:bookmarkEnd w:id="236"/>
      <w:bookmarkEnd w:id="237"/>
      <w:bookmarkEnd w:id="238"/>
      <w:bookmarkEnd w:id="239"/>
      <w:bookmarkEnd w:id="240"/>
      <w:bookmarkEnd w:id="241"/>
      <w:bookmarkEnd w:id="242"/>
      <w:bookmarkEnd w:id="243"/>
      <w:bookmarkEnd w:id="244"/>
      <w:r>
        <w:rPr>
          <w:rFonts w:ascii="Times New Roman" w:hAnsi="Times New Roman"/>
          <w:color w:val="000000"/>
          <w:highlight w:val="none"/>
        </w:rPr>
        <w:t>标人退还投标保证金。投标保证金以现金或者支票形式递交的，还应退还银行同期存款利息。</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3.4.4 有下列情形之一的，投标保证金将不予退还：</w:t>
      </w:r>
    </w:p>
    <w:p>
      <w:pPr>
        <w:spacing w:line="400" w:lineRule="exact"/>
        <w:ind w:firstLine="315" w:firstLineChars="150"/>
        <w:rPr>
          <w:rFonts w:ascii="Times New Roman" w:hAnsi="Times New Roman"/>
          <w:color w:val="000000"/>
          <w:highlight w:val="none"/>
        </w:rPr>
      </w:pPr>
      <w:r>
        <w:rPr>
          <w:rFonts w:ascii="Times New Roman" w:hAnsi="Times New Roman"/>
          <w:color w:val="000000"/>
          <w:highlight w:val="none"/>
        </w:rPr>
        <w:t>（1）投标人在投标有效期内撤销投标文件；</w:t>
      </w:r>
    </w:p>
    <w:p>
      <w:pPr>
        <w:spacing w:line="400" w:lineRule="exact"/>
        <w:ind w:firstLine="315" w:firstLineChars="150"/>
        <w:rPr>
          <w:rFonts w:ascii="Times New Roman" w:hAnsi="Times New Roman"/>
          <w:color w:val="000000"/>
          <w:highlight w:val="none"/>
        </w:rPr>
      </w:pPr>
      <w:r>
        <w:rPr>
          <w:rFonts w:ascii="Times New Roman" w:hAnsi="Times New Roman"/>
          <w:color w:val="000000"/>
          <w:highlight w:val="none"/>
        </w:rPr>
        <w:t>（2）中标人在收到中标通知书后，无正当理由不与招标人订立合同，在签订合同时向招标人提出附加条件，或者不按照招标文件要求提交履约保证金；</w:t>
      </w:r>
    </w:p>
    <w:p>
      <w:pPr>
        <w:spacing w:line="400" w:lineRule="exact"/>
        <w:ind w:firstLine="315" w:firstLineChars="150"/>
        <w:rPr>
          <w:rFonts w:ascii="Times New Roman" w:hAnsi="Times New Roman"/>
          <w:color w:val="000000"/>
          <w:highlight w:val="none"/>
        </w:rPr>
      </w:pPr>
      <w:r>
        <w:rPr>
          <w:rFonts w:ascii="Times New Roman" w:hAnsi="Times New Roman"/>
          <w:color w:val="000000"/>
          <w:highlight w:val="none"/>
        </w:rPr>
        <w:t>（3）发生投标人须知前附表</w:t>
      </w:r>
      <w:r>
        <w:rPr>
          <w:rFonts w:ascii="Times New Roman" w:hAnsi="Times New Roman"/>
          <w:szCs w:val="21"/>
          <w:highlight w:val="none"/>
        </w:rPr>
        <w:t>规定的其他可以不予退还投标保证金的情形。</w:t>
      </w:r>
    </w:p>
    <w:p>
      <w:pPr>
        <w:pStyle w:val="4"/>
        <w:spacing w:line="240" w:lineRule="auto"/>
        <w:ind w:firstLine="137"/>
        <w:rPr>
          <w:rFonts w:ascii="Times New Roman" w:hAnsi="Times New Roman"/>
          <w:color w:val="000000"/>
          <w:highlight w:val="none"/>
        </w:rPr>
      </w:pPr>
      <w:bookmarkStart w:id="245" w:name="_Toc1252973297"/>
      <w:r>
        <w:rPr>
          <w:rFonts w:ascii="Times New Roman" w:hAnsi="Times New Roman"/>
          <w:color w:val="000000"/>
          <w:highlight w:val="none"/>
        </w:rPr>
        <w:t>3.5 资格审查资料（适用于已进行资格预审的）</w:t>
      </w:r>
      <w:bookmarkEnd w:id="245"/>
    </w:p>
    <w:p>
      <w:pPr>
        <w:spacing w:line="400" w:lineRule="exact"/>
        <w:ind w:firstLine="420" w:firstLineChars="200"/>
        <w:jc w:val="left"/>
        <w:rPr>
          <w:rFonts w:ascii="Times New Roman" w:hAnsi="Times New Roman"/>
          <w:color w:val="000000"/>
          <w:highlight w:val="none"/>
        </w:rPr>
      </w:pPr>
      <w:r>
        <w:rPr>
          <w:rFonts w:ascii="Times New Roman" w:hAnsi="Times New Roman"/>
          <w:color w:val="000000"/>
          <w:highlight w:val="none"/>
        </w:rPr>
        <w:t>投标人在递交投标文件前，发生可能影响其投标资格的新情况的，应更新或补充其在申请资格预审时提供的资料，以证实其各项资格条件仍能继续满足资格预审文件的要求，且没有</w:t>
      </w:r>
      <w:r>
        <w:rPr>
          <w:rFonts w:hint="eastAsia" w:ascii="Times New Roman" w:hAnsi="Times New Roman"/>
          <w:color w:val="000000"/>
          <w:highlight w:val="none"/>
        </w:rPr>
        <w:t>影响</w:t>
      </w:r>
      <w:r>
        <w:rPr>
          <w:rFonts w:ascii="Times New Roman" w:hAnsi="Times New Roman"/>
          <w:color w:val="000000"/>
          <w:highlight w:val="none"/>
        </w:rPr>
        <w:t>招标公正性。</w:t>
      </w:r>
    </w:p>
    <w:p>
      <w:pPr>
        <w:pStyle w:val="4"/>
        <w:spacing w:line="240" w:lineRule="auto"/>
        <w:ind w:firstLine="137"/>
        <w:rPr>
          <w:rFonts w:ascii="Times New Roman" w:hAnsi="Times New Roman"/>
          <w:color w:val="000000"/>
          <w:highlight w:val="none"/>
        </w:rPr>
      </w:pPr>
      <w:bookmarkStart w:id="246" w:name="_Toc528501236"/>
      <w:r>
        <w:rPr>
          <w:rFonts w:ascii="Times New Roman" w:hAnsi="Times New Roman"/>
          <w:color w:val="000000"/>
          <w:highlight w:val="none"/>
        </w:rPr>
        <w:t>3.5 资格审查资料（适用于未进行资格预审的）</w:t>
      </w:r>
      <w:bookmarkEnd w:id="246"/>
    </w:p>
    <w:p>
      <w:pPr>
        <w:spacing w:line="400" w:lineRule="exact"/>
        <w:ind w:firstLine="420" w:firstLineChars="200"/>
        <w:rPr>
          <w:rFonts w:ascii="Times New Roman" w:hAnsi="Times New Roman"/>
          <w:highlight w:val="none"/>
        </w:rPr>
      </w:pPr>
      <w:r>
        <w:rPr>
          <w:rFonts w:ascii="Times New Roman" w:hAnsi="Times New Roman"/>
          <w:highlight w:val="none"/>
        </w:rPr>
        <w:t>除投标人须知前附表另有规定外，投标人应按下列规定提供资格审查资料，以证明其满足本章第1.4款规定的</w:t>
      </w:r>
      <w:r>
        <w:rPr>
          <w:rFonts w:ascii="Times New Roman" w:hAnsi="Times New Roman"/>
          <w:color w:val="000000"/>
          <w:highlight w:val="none"/>
        </w:rPr>
        <w:t>资质、财务、业绩、信誉等要求。</w:t>
      </w:r>
    </w:p>
    <w:p>
      <w:pPr>
        <w:spacing w:line="400" w:lineRule="exact"/>
        <w:ind w:firstLine="420" w:firstLineChars="200"/>
        <w:rPr>
          <w:rFonts w:ascii="Times New Roman" w:hAnsi="Times New Roman"/>
          <w:highlight w:val="none"/>
        </w:rPr>
      </w:pPr>
      <w:r>
        <w:rPr>
          <w:rFonts w:ascii="Times New Roman" w:hAnsi="Times New Roman"/>
          <w:highlight w:val="none"/>
        </w:rPr>
        <w:t>3.5.1 “投标人基本情况表”应附投标人及其制造商（适用于代理经销商投标的情形）资格或者资质证书副本和投标材料检验或认证等材料的</w:t>
      </w:r>
      <w:r>
        <w:rPr>
          <w:rFonts w:hint="eastAsia" w:ascii="Times New Roman" w:hAnsi="Times New Roman"/>
          <w:highlight w:val="none"/>
          <w:lang w:val="en-US" w:eastAsia="zh-CN"/>
        </w:rPr>
        <w:t>扫描件</w:t>
      </w:r>
      <w:r>
        <w:rPr>
          <w:rFonts w:ascii="Times New Roman" w:hAnsi="Times New Roman"/>
          <w:highlight w:val="none"/>
        </w:rPr>
        <w:t>以及：</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（1）投标人为企业的，应提交营业执照和组织机构代码证的</w:t>
      </w:r>
      <w:r>
        <w:rPr>
          <w:rFonts w:hint="eastAsia" w:ascii="Times New Roman" w:hAnsi="Times New Roman"/>
          <w:highlight w:val="none"/>
          <w:lang w:val="en-US" w:eastAsia="zh-CN"/>
        </w:rPr>
        <w:t>扫描件</w:t>
      </w:r>
      <w:r>
        <w:rPr>
          <w:rFonts w:ascii="Times New Roman" w:hAnsi="Times New Roman"/>
          <w:color w:val="000000"/>
          <w:highlight w:val="none"/>
        </w:rPr>
        <w:t>（按照“三证合一”或“五证合一”登记制度进行登记的，可仅提供营业执照</w:t>
      </w:r>
      <w:r>
        <w:rPr>
          <w:rFonts w:hint="eastAsia" w:ascii="Times New Roman" w:hAnsi="Times New Roman"/>
          <w:highlight w:val="none"/>
          <w:lang w:val="en-US" w:eastAsia="zh-CN"/>
        </w:rPr>
        <w:t>扫描件</w:t>
      </w:r>
      <w:r>
        <w:rPr>
          <w:rFonts w:ascii="Times New Roman" w:hAnsi="Times New Roman"/>
          <w:color w:val="000000"/>
          <w:highlight w:val="none"/>
        </w:rPr>
        <w:t>）；</w:t>
      </w:r>
    </w:p>
    <w:p>
      <w:pPr>
        <w:spacing w:line="400" w:lineRule="exact"/>
        <w:ind w:firstLine="420" w:firstLineChars="200"/>
        <w:rPr>
          <w:rFonts w:ascii="仿宋_GB2312" w:hAnsi="仿宋_GB2312" w:eastAsia="仿宋_GB2312" w:cs="仿宋_GB2312"/>
          <w:szCs w:val="21"/>
          <w:highlight w:val="none"/>
        </w:rPr>
      </w:pPr>
      <w:r>
        <w:rPr>
          <w:rFonts w:ascii="Times New Roman" w:hAnsi="Times New Roman"/>
          <w:color w:val="000000"/>
          <w:highlight w:val="none"/>
        </w:rPr>
        <w:t>（2）投标人为依法允许经营的事业单位的，应提交事业单位法人证书和组织机构代码证的</w:t>
      </w:r>
      <w:r>
        <w:rPr>
          <w:rFonts w:hint="eastAsia" w:ascii="Times New Roman" w:hAnsi="Times New Roman"/>
          <w:highlight w:val="none"/>
          <w:lang w:val="en-US" w:eastAsia="zh-CN"/>
        </w:rPr>
        <w:t>扫描件</w:t>
      </w:r>
      <w:r>
        <w:rPr>
          <w:rFonts w:ascii="Times New Roman" w:hAnsi="Times New Roman"/>
          <w:color w:val="000000"/>
          <w:highlight w:val="none"/>
        </w:rPr>
        <w:t>。</w:t>
      </w:r>
    </w:p>
    <w:p>
      <w:pPr>
        <w:spacing w:line="400" w:lineRule="exact"/>
        <w:ind w:firstLine="420" w:firstLineChars="200"/>
        <w:rPr>
          <w:rFonts w:ascii="Times New Roman" w:hAnsi="Times New Roman"/>
          <w:highlight w:val="none"/>
        </w:rPr>
      </w:pPr>
      <w:r>
        <w:rPr>
          <w:rFonts w:ascii="Times New Roman" w:hAnsi="Times New Roman"/>
          <w:highlight w:val="none"/>
        </w:rPr>
        <w:t xml:space="preserve">3.5.2 </w:t>
      </w:r>
      <w:r>
        <w:rPr>
          <w:rFonts w:hint="eastAsia" w:ascii="Times New Roman" w:hAnsi="Times New Roman"/>
          <w:highlight w:val="none"/>
        </w:rPr>
        <w:t>“近年财务状况表”应附经会计师事务所或审计机构审计的财务会计报表，包括资产负债表、现金流量表和利润表的扫描件，具体年份要求见投标人须知前附表。投标人的成立时间少于投标人须知前附表规定年份的，应提供成立以来的财务状况表。</w:t>
      </w:r>
    </w:p>
    <w:p>
      <w:pPr>
        <w:spacing w:line="400" w:lineRule="exact"/>
        <w:ind w:firstLine="420" w:firstLineChars="200"/>
        <w:rPr>
          <w:rFonts w:ascii="Times New Roman" w:hAnsi="Times New Roman"/>
          <w:highlight w:val="none"/>
        </w:rPr>
      </w:pPr>
      <w:r>
        <w:rPr>
          <w:rFonts w:ascii="Times New Roman" w:hAnsi="Times New Roman"/>
          <w:highlight w:val="none"/>
        </w:rPr>
        <w:t>3.5.3 “近年完成的类似项目情况表”应附中标通知书和（或）合同协议书、材料进场验收证书等的</w:t>
      </w:r>
      <w:r>
        <w:rPr>
          <w:rFonts w:hint="eastAsia" w:ascii="Times New Roman" w:hAnsi="Times New Roman"/>
          <w:highlight w:val="none"/>
          <w:lang w:val="en-US" w:eastAsia="zh-CN"/>
        </w:rPr>
        <w:t>扫描件</w:t>
      </w:r>
      <w:r>
        <w:rPr>
          <w:rFonts w:ascii="Times New Roman" w:hAnsi="Times New Roman"/>
          <w:highlight w:val="none"/>
        </w:rPr>
        <w:t>，具体</w:t>
      </w:r>
      <w:r>
        <w:rPr>
          <w:rFonts w:hint="eastAsia" w:ascii="Times New Roman" w:hAnsi="Times New Roman"/>
          <w:highlight w:val="none"/>
        </w:rPr>
        <w:t>时间</w:t>
      </w:r>
      <w:r>
        <w:rPr>
          <w:rFonts w:ascii="Times New Roman" w:hAnsi="Times New Roman"/>
          <w:highlight w:val="none"/>
        </w:rPr>
        <w:t>要求见投标人须知前附表。每张表格只填写一个项目，并标明序号。</w:t>
      </w:r>
    </w:p>
    <w:p>
      <w:pPr>
        <w:spacing w:line="400" w:lineRule="exact"/>
        <w:ind w:firstLine="420" w:firstLineChars="200"/>
        <w:rPr>
          <w:rFonts w:ascii="Times New Roman" w:hAnsi="Times New Roman"/>
          <w:highlight w:val="none"/>
        </w:rPr>
      </w:pPr>
      <w:r>
        <w:rPr>
          <w:rFonts w:ascii="Times New Roman" w:hAnsi="Times New Roman"/>
          <w:highlight w:val="none"/>
        </w:rPr>
        <w:t>3.5.4 “近年发生的诉讼及仲裁情况”应说明投标人败诉的材料买卖合同的相关情况，并附法院或仲裁机构作出的判决、裁决等有关法律文书</w:t>
      </w:r>
      <w:r>
        <w:rPr>
          <w:rFonts w:hint="eastAsia" w:ascii="Times New Roman" w:hAnsi="Times New Roman"/>
          <w:highlight w:val="none"/>
          <w:lang w:val="en-US" w:eastAsia="zh-CN"/>
        </w:rPr>
        <w:t>扫描件</w:t>
      </w:r>
      <w:r>
        <w:rPr>
          <w:rFonts w:ascii="Times New Roman" w:hAnsi="Times New Roman"/>
          <w:highlight w:val="none"/>
        </w:rPr>
        <w:t>，具体</w:t>
      </w:r>
      <w:r>
        <w:rPr>
          <w:rFonts w:hint="eastAsia" w:ascii="Times New Roman" w:hAnsi="Times New Roman"/>
          <w:highlight w:val="none"/>
        </w:rPr>
        <w:t>时间</w:t>
      </w:r>
      <w:r>
        <w:rPr>
          <w:rFonts w:ascii="Times New Roman" w:hAnsi="Times New Roman"/>
          <w:highlight w:val="none"/>
        </w:rPr>
        <w:t>要求见投标人须知前附表。</w:t>
      </w:r>
    </w:p>
    <w:p>
      <w:pPr>
        <w:spacing w:line="400" w:lineRule="exact"/>
        <w:ind w:firstLine="420" w:firstLineChars="200"/>
        <w:rPr>
          <w:rFonts w:ascii="Times New Roman" w:hAnsi="Times New Roman"/>
          <w:highlight w:val="none"/>
        </w:rPr>
      </w:pPr>
      <w:r>
        <w:rPr>
          <w:rFonts w:ascii="Times New Roman" w:hAnsi="Times New Roman"/>
          <w:highlight w:val="none"/>
        </w:rPr>
        <w:t>3.5.</w:t>
      </w:r>
      <w:r>
        <w:rPr>
          <w:rFonts w:hint="eastAsia" w:ascii="Times New Roman" w:hAnsi="Times New Roman"/>
          <w:highlight w:val="none"/>
        </w:rPr>
        <w:t>5</w:t>
      </w:r>
      <w:r>
        <w:rPr>
          <w:rFonts w:ascii="Times New Roman" w:hAnsi="Times New Roman"/>
          <w:highlight w:val="none"/>
        </w:rPr>
        <w:t xml:space="preserve"> 投标人须知前附表规定接受联合体投标的，本章第3.5.1项至第3.5.5项规定的表格和资料应包括联合体各方相关情况。</w:t>
      </w:r>
    </w:p>
    <w:p>
      <w:pPr>
        <w:pStyle w:val="4"/>
        <w:spacing w:line="240" w:lineRule="auto"/>
        <w:ind w:firstLine="137"/>
        <w:rPr>
          <w:rFonts w:ascii="Times New Roman" w:hAnsi="Times New Roman"/>
          <w:color w:val="000000"/>
          <w:highlight w:val="none"/>
        </w:rPr>
      </w:pPr>
      <w:bookmarkStart w:id="247" w:name="_Toc1174859707"/>
      <w:r>
        <w:rPr>
          <w:rFonts w:ascii="Times New Roman" w:hAnsi="Times New Roman"/>
          <w:color w:val="000000"/>
          <w:highlight w:val="none"/>
        </w:rPr>
        <w:t>3.6 备选投标方案</w:t>
      </w:r>
      <w:bookmarkEnd w:id="247"/>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3.6.1 除投标人须知前附表规定允许外，投标人不得递交备选投标方案，否则其投标将被否决。</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3.6.3 投标人提供两个或两个以上投标报价，或者在投标文件中提供一个报价，但同时提供两个或两个以上</w:t>
      </w:r>
      <w:r>
        <w:rPr>
          <w:rFonts w:ascii="Times New Roman" w:hAnsi="Times New Roman"/>
          <w:highlight w:val="none"/>
        </w:rPr>
        <w:t>供</w:t>
      </w:r>
      <w:bookmarkStart w:id="248" w:name="_Toc247513974"/>
      <w:bookmarkStart w:id="249" w:name="_Toc247527575"/>
      <w:bookmarkStart w:id="250" w:name="_Toc300834971"/>
      <w:bookmarkStart w:id="251" w:name="_Toc152045550"/>
      <w:bookmarkStart w:id="252" w:name="_Toc29902"/>
      <w:bookmarkStart w:id="253" w:name="_Toc152042326"/>
      <w:bookmarkStart w:id="254" w:name="_Toc384308232"/>
      <w:bookmarkStart w:id="255" w:name="_Toc352691495"/>
      <w:bookmarkStart w:id="256" w:name="_Toc369531538"/>
      <w:bookmarkStart w:id="257" w:name="_Toc144974518"/>
      <w:bookmarkStart w:id="258" w:name="_Toc361508607"/>
      <w:r>
        <w:rPr>
          <w:rFonts w:ascii="Times New Roman" w:hAnsi="Times New Roman"/>
          <w:highlight w:val="none"/>
        </w:rPr>
        <w:t>货方案的</w:t>
      </w:r>
      <w:bookmarkEnd w:id="248"/>
      <w:bookmarkEnd w:id="249"/>
      <w:bookmarkEnd w:id="250"/>
      <w:bookmarkEnd w:id="251"/>
      <w:bookmarkEnd w:id="252"/>
      <w:bookmarkEnd w:id="253"/>
      <w:bookmarkEnd w:id="254"/>
      <w:bookmarkEnd w:id="255"/>
      <w:bookmarkEnd w:id="256"/>
      <w:bookmarkEnd w:id="257"/>
      <w:bookmarkEnd w:id="258"/>
      <w:r>
        <w:rPr>
          <w:rFonts w:ascii="Times New Roman" w:hAnsi="Times New Roman"/>
          <w:highlight w:val="none"/>
        </w:rPr>
        <w:t>，</w:t>
      </w:r>
      <w:r>
        <w:rPr>
          <w:rFonts w:ascii="Times New Roman" w:hAnsi="Times New Roman"/>
          <w:color w:val="000000"/>
          <w:highlight w:val="none"/>
        </w:rPr>
        <w:t>视为提供备选方案。</w:t>
      </w:r>
    </w:p>
    <w:p>
      <w:pPr>
        <w:pStyle w:val="4"/>
        <w:spacing w:line="240" w:lineRule="auto"/>
        <w:ind w:firstLine="137"/>
        <w:rPr>
          <w:rFonts w:ascii="Times New Roman" w:hAnsi="Times New Roman"/>
          <w:color w:val="000000"/>
          <w:highlight w:val="none"/>
        </w:rPr>
      </w:pPr>
      <w:bookmarkStart w:id="259" w:name="_Toc512464872"/>
      <w:r>
        <w:rPr>
          <w:rFonts w:ascii="Times New Roman" w:hAnsi="Times New Roman"/>
          <w:color w:val="000000"/>
          <w:highlight w:val="none"/>
        </w:rPr>
        <w:t>3.7 投标文件的编制</w:t>
      </w:r>
      <w:bookmarkEnd w:id="259"/>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3.7.1 投标文件应按第六章“投标文件格式”进行编写，如有必要，可以增加附页，作为投标文件的组成部分。</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3.7.2 投标文件应当对招标文件有关供货期、投标有效期、供货要求、招标范围等实质性内容作出响应。投标文件在满足招标文件实质性要求的基础上，可以提出比招标文件要求更有利于招标人的承诺。</w:t>
      </w:r>
    </w:p>
    <w:p>
      <w:pPr>
        <w:spacing w:line="400" w:lineRule="exact"/>
        <w:ind w:firstLine="420" w:firstLineChars="200"/>
        <w:rPr>
          <w:rFonts w:ascii="Times New Roman" w:hAnsi="Times New Roman" w:eastAsia="宋体" w:cs="Times New Roman"/>
          <w:color w:val="000000"/>
          <w:szCs w:val="22"/>
          <w:highlight w:val="none"/>
        </w:rPr>
      </w:pPr>
      <w:r>
        <w:rPr>
          <w:rFonts w:ascii="Times New Roman" w:hAnsi="Times New Roman" w:eastAsia="宋体" w:cs="Times New Roman"/>
          <w:color w:val="000000"/>
          <w:szCs w:val="22"/>
          <w:highlight w:val="none"/>
        </w:rPr>
        <w:t xml:space="preserve">3.7.3 </w:t>
      </w:r>
      <w:r>
        <w:rPr>
          <w:rFonts w:hint="eastAsia" w:ascii="Times New Roman" w:hAnsi="Times New Roman" w:eastAsia="宋体" w:cs="Times New Roman"/>
          <w:color w:val="000000"/>
          <w:szCs w:val="22"/>
          <w:highlight w:val="none"/>
        </w:rPr>
        <w:t>投标文件的制作应满足以下规定：</w:t>
      </w:r>
    </w:p>
    <w:p>
      <w:pPr>
        <w:spacing w:line="400" w:lineRule="exact"/>
        <w:ind w:firstLine="420" w:firstLineChars="200"/>
        <w:rPr>
          <w:rFonts w:ascii="Times New Roman" w:hAnsi="Times New Roman" w:eastAsia="宋体" w:cs="Times New Roman"/>
          <w:color w:val="000000"/>
          <w:szCs w:val="22"/>
          <w:highlight w:val="none"/>
        </w:rPr>
      </w:pPr>
      <w:r>
        <w:rPr>
          <w:rFonts w:hint="eastAsia" w:ascii="Times New Roman" w:hAnsi="Times New Roman" w:eastAsia="宋体" w:cs="Times New Roman"/>
          <w:color w:val="000000"/>
          <w:szCs w:val="22"/>
          <w:highlight w:val="none"/>
        </w:rPr>
        <w:t>（</w:t>
      </w:r>
      <w:r>
        <w:rPr>
          <w:rFonts w:ascii="Times New Roman" w:hAnsi="Times New Roman" w:eastAsia="宋体" w:cs="Times New Roman"/>
          <w:color w:val="000000"/>
          <w:szCs w:val="22"/>
          <w:highlight w:val="none"/>
        </w:rPr>
        <w:t>1</w:t>
      </w:r>
      <w:r>
        <w:rPr>
          <w:rFonts w:hint="eastAsia" w:ascii="Times New Roman" w:hAnsi="Times New Roman" w:eastAsia="宋体" w:cs="Times New Roman"/>
          <w:color w:val="000000"/>
          <w:szCs w:val="22"/>
          <w:highlight w:val="none"/>
        </w:rPr>
        <w:t>）投标文件由投标人使用电子交易系统提供的“投标文件制作工具”制作生成。“投标文件制作工具”可以通过电子交易系统下载。投标人应当在互联网络通畅状态下启用最新版投标文件制作工具制作投标文件。</w:t>
      </w:r>
    </w:p>
    <w:p>
      <w:pPr>
        <w:spacing w:line="400" w:lineRule="exact"/>
        <w:ind w:firstLine="420" w:firstLineChars="200"/>
        <w:rPr>
          <w:rFonts w:ascii="Times New Roman" w:hAnsi="Times New Roman" w:eastAsia="宋体" w:cs="Times New Roman"/>
          <w:color w:val="000000"/>
          <w:szCs w:val="22"/>
          <w:highlight w:val="none"/>
        </w:rPr>
      </w:pPr>
      <w:r>
        <w:rPr>
          <w:rFonts w:hint="eastAsia" w:ascii="Times New Roman" w:hAnsi="Times New Roman" w:eastAsia="宋体" w:cs="Times New Roman"/>
          <w:color w:val="000000"/>
          <w:szCs w:val="22"/>
          <w:highlight w:val="none"/>
        </w:rPr>
        <w:t>（</w:t>
      </w:r>
      <w:r>
        <w:rPr>
          <w:rFonts w:ascii="Times New Roman" w:hAnsi="Times New Roman" w:eastAsia="宋体" w:cs="Times New Roman"/>
          <w:color w:val="000000"/>
          <w:szCs w:val="22"/>
          <w:highlight w:val="none"/>
        </w:rPr>
        <w:t>2</w:t>
      </w:r>
      <w:r>
        <w:rPr>
          <w:rFonts w:hint="eastAsia" w:ascii="Times New Roman" w:hAnsi="Times New Roman" w:eastAsia="宋体" w:cs="Times New Roman"/>
          <w:color w:val="000000"/>
          <w:szCs w:val="22"/>
          <w:highlight w:val="none"/>
        </w:rPr>
        <w:t>）在第六章“投标文件格式”中要求盖单位章和（或）签字处，投标人应加盖投标人单位电子印章和（或）法定代表人的个人电子印章</w:t>
      </w:r>
      <w:r>
        <w:rPr>
          <w:rFonts w:ascii="Times New Roman" w:hAnsi="Times New Roman" w:eastAsia="宋体" w:cs="Times New Roman"/>
          <w:color w:val="000000"/>
          <w:szCs w:val="22"/>
          <w:highlight w:val="none"/>
        </w:rPr>
        <w:t>/</w:t>
      </w:r>
      <w:r>
        <w:rPr>
          <w:rFonts w:hint="eastAsia" w:ascii="Times New Roman" w:hAnsi="Times New Roman" w:eastAsia="宋体" w:cs="Times New Roman"/>
          <w:color w:val="000000"/>
          <w:szCs w:val="22"/>
          <w:highlight w:val="none"/>
        </w:rPr>
        <w:t>电子签名章。联合体投标的，除联合体协议书外（联合体各方均应加盖单位章并由法定代表人或其委托代理人签字），投标文件由联合体牵头人按上述规定加盖联合体牵头人单位电子印章和（或）法定代表人的个人电子印章</w:t>
      </w:r>
      <w:r>
        <w:rPr>
          <w:rFonts w:ascii="Times New Roman" w:hAnsi="Times New Roman" w:eastAsia="宋体" w:cs="Times New Roman"/>
          <w:color w:val="000000"/>
          <w:szCs w:val="22"/>
          <w:highlight w:val="none"/>
        </w:rPr>
        <w:t>/</w:t>
      </w:r>
      <w:r>
        <w:rPr>
          <w:rFonts w:hint="eastAsia" w:ascii="Times New Roman" w:hAnsi="Times New Roman" w:eastAsia="宋体" w:cs="Times New Roman"/>
          <w:color w:val="000000"/>
          <w:szCs w:val="22"/>
          <w:highlight w:val="none"/>
        </w:rPr>
        <w:t>电子签名章。</w:t>
      </w:r>
    </w:p>
    <w:p>
      <w:pPr>
        <w:spacing w:line="400" w:lineRule="exact"/>
        <w:ind w:firstLine="420" w:firstLineChars="200"/>
        <w:rPr>
          <w:rFonts w:ascii="Times New Roman" w:hAnsi="Times New Roman" w:eastAsia="宋体" w:cs="Times New Roman"/>
          <w:color w:val="000000"/>
          <w:szCs w:val="22"/>
          <w:highlight w:val="none"/>
        </w:rPr>
      </w:pPr>
      <w:r>
        <w:rPr>
          <w:rFonts w:hint="eastAsia" w:ascii="Times New Roman" w:hAnsi="Times New Roman" w:eastAsia="宋体" w:cs="Times New Roman"/>
          <w:color w:val="000000"/>
          <w:szCs w:val="22"/>
          <w:highlight w:val="none"/>
        </w:rPr>
        <w:t>（</w:t>
      </w:r>
      <w:r>
        <w:rPr>
          <w:rFonts w:ascii="Times New Roman" w:hAnsi="Times New Roman" w:eastAsia="宋体" w:cs="Times New Roman"/>
          <w:color w:val="000000"/>
          <w:szCs w:val="22"/>
          <w:highlight w:val="none"/>
        </w:rPr>
        <w:t>3</w:t>
      </w:r>
      <w:r>
        <w:rPr>
          <w:rFonts w:hint="eastAsia" w:ascii="Times New Roman" w:hAnsi="Times New Roman" w:eastAsia="宋体" w:cs="Times New Roman"/>
          <w:color w:val="000000"/>
          <w:szCs w:val="22"/>
          <w:highlight w:val="none"/>
        </w:rPr>
        <w:t>）投标文件制作完成后，投标人应对投标文件进行文件加密，形成加密的投标文件。采用数字证书加密的，加密时投标文件的所有内容均只能使用同一把数字证书进行加密，否则引起的解密失败责任由投标人自行承担。</w:t>
      </w:r>
    </w:p>
    <w:p>
      <w:pPr>
        <w:spacing w:line="400" w:lineRule="exact"/>
        <w:ind w:firstLine="420" w:firstLineChars="200"/>
        <w:rPr>
          <w:rFonts w:ascii="Times New Roman" w:hAnsi="Times New Roman" w:eastAsia="宋体" w:cs="Times New Roman"/>
          <w:color w:val="000000"/>
          <w:szCs w:val="22"/>
          <w:highlight w:val="none"/>
        </w:rPr>
      </w:pPr>
      <w:r>
        <w:rPr>
          <w:rFonts w:ascii="Times New Roman" w:hAnsi="Times New Roman" w:eastAsia="宋体" w:cs="Times New Roman"/>
          <w:color w:val="000000"/>
          <w:szCs w:val="22"/>
          <w:highlight w:val="none"/>
        </w:rPr>
        <w:t xml:space="preserve">3.7.4 </w:t>
      </w:r>
      <w:r>
        <w:rPr>
          <w:rFonts w:hint="eastAsia" w:ascii="Times New Roman" w:hAnsi="Times New Roman" w:eastAsia="宋体" w:cs="Times New Roman"/>
          <w:color w:val="000000"/>
          <w:szCs w:val="22"/>
          <w:highlight w:val="none"/>
        </w:rPr>
        <w:t>投标文件制作软件生成加密投标文件时，同时生成非加密投标文件，作为加密投标文件无法解密、导入时的补救措施。如递交，相关要求详见投标人须知前附表。</w:t>
      </w:r>
    </w:p>
    <w:p>
      <w:pPr>
        <w:spacing w:line="400" w:lineRule="exact"/>
        <w:ind w:firstLine="420" w:firstLineChars="200"/>
        <w:rPr>
          <w:rFonts w:ascii="Times New Roman" w:hAnsi="Times New Roman" w:eastAsia="宋体" w:cs="Times New Roman"/>
          <w:color w:val="000000"/>
          <w:szCs w:val="22"/>
          <w:highlight w:val="none"/>
        </w:rPr>
      </w:pPr>
      <w:r>
        <w:rPr>
          <w:rFonts w:ascii="Times New Roman" w:hAnsi="Times New Roman" w:eastAsia="宋体" w:cs="Times New Roman"/>
          <w:color w:val="000000"/>
          <w:szCs w:val="22"/>
          <w:highlight w:val="none"/>
        </w:rPr>
        <w:t>3.7.5</w:t>
      </w:r>
      <w:r>
        <w:rPr>
          <w:rFonts w:hint="eastAsia" w:ascii="Times New Roman" w:hAnsi="Times New Roman" w:eastAsia="宋体" w:cs="Times New Roman"/>
          <w:color w:val="000000"/>
          <w:szCs w:val="22"/>
          <w:highlight w:val="none"/>
        </w:rPr>
        <w:t>因投标人自身原因而导致投标文件无法导入电子交易系统电子开标、评标系统，该投标视为无效投标，投标人自行承担由此导致的全部责任。（该投标文件是指解密后的投标文件或启用补救措施下的非加密电子投标文件。）</w:t>
      </w:r>
    </w:p>
    <w:p>
      <w:pPr>
        <w:spacing w:line="400" w:lineRule="exact"/>
        <w:ind w:firstLine="420" w:firstLineChars="200"/>
        <w:rPr>
          <w:rFonts w:ascii="Times New Roman" w:hAnsi="Times New Roman" w:eastAsia="宋体" w:cs="Times New Roman"/>
          <w:color w:val="000000"/>
          <w:szCs w:val="22"/>
          <w:highlight w:val="none"/>
        </w:rPr>
      </w:pPr>
      <w:r>
        <w:rPr>
          <w:rFonts w:ascii="Times New Roman" w:hAnsi="Times New Roman" w:eastAsia="宋体" w:cs="Times New Roman"/>
          <w:color w:val="000000"/>
          <w:szCs w:val="22"/>
          <w:highlight w:val="none"/>
        </w:rPr>
        <w:t>3.7.6</w:t>
      </w:r>
      <w:r>
        <w:rPr>
          <w:rFonts w:hint="eastAsia" w:ascii="Times New Roman" w:hAnsi="Times New Roman" w:eastAsia="宋体" w:cs="Times New Roman"/>
          <w:color w:val="000000"/>
          <w:szCs w:val="22"/>
          <w:highlight w:val="none"/>
        </w:rPr>
        <w:t>除投标人须知前附表另有规定外，投标文件技术标采用暗标形式，应按以下方式进行编制：</w:t>
      </w:r>
    </w:p>
    <w:p>
      <w:pPr>
        <w:spacing w:line="400" w:lineRule="exact"/>
        <w:ind w:firstLine="420" w:firstLineChars="200"/>
        <w:rPr>
          <w:rFonts w:ascii="Times New Roman" w:hAnsi="Times New Roman" w:eastAsia="宋体" w:cs="Times New Roman"/>
          <w:color w:val="000000"/>
          <w:szCs w:val="22"/>
          <w:highlight w:val="none"/>
        </w:rPr>
      </w:pPr>
      <w:r>
        <w:rPr>
          <w:rFonts w:hint="eastAsia" w:ascii="Times New Roman" w:hAnsi="Times New Roman" w:eastAsia="宋体" w:cs="Times New Roman"/>
          <w:color w:val="000000"/>
          <w:szCs w:val="22"/>
          <w:highlight w:val="none"/>
        </w:rPr>
        <w:t>（</w:t>
      </w:r>
      <w:r>
        <w:rPr>
          <w:rFonts w:ascii="Times New Roman" w:hAnsi="Times New Roman" w:eastAsia="宋体" w:cs="Times New Roman"/>
          <w:color w:val="000000"/>
          <w:szCs w:val="22"/>
          <w:highlight w:val="none"/>
        </w:rPr>
        <w:t>1</w:t>
      </w:r>
      <w:r>
        <w:rPr>
          <w:rFonts w:hint="eastAsia" w:ascii="Times New Roman" w:hAnsi="Times New Roman" w:eastAsia="宋体" w:cs="Times New Roman"/>
          <w:color w:val="000000"/>
          <w:szCs w:val="22"/>
          <w:highlight w:val="none"/>
        </w:rPr>
        <w:t>）技术标格式统一按要求进行编制；不得在技术标文件内出现投标人名称，不得出现任何能引起判断出投标人的内容；不得在技术投标文件内出现空白页，重复页情况；</w:t>
      </w:r>
      <w:r>
        <w:rPr>
          <w:rFonts w:ascii="Times New Roman" w:hAnsi="Times New Roman" w:eastAsia="宋体" w:cs="Times New Roman"/>
          <w:color w:val="000000"/>
          <w:szCs w:val="22"/>
          <w:highlight w:val="none"/>
        </w:rPr>
        <w:t xml:space="preserve"> </w:t>
      </w:r>
    </w:p>
    <w:p>
      <w:pPr>
        <w:spacing w:line="400" w:lineRule="exact"/>
        <w:ind w:firstLine="420" w:firstLineChars="200"/>
        <w:rPr>
          <w:rFonts w:ascii="Times New Roman" w:hAnsi="Times New Roman" w:eastAsia="宋体" w:cs="Times New Roman"/>
          <w:color w:val="000000"/>
          <w:szCs w:val="22"/>
          <w:highlight w:val="none"/>
        </w:rPr>
      </w:pPr>
      <w:r>
        <w:rPr>
          <w:rFonts w:hint="eastAsia" w:ascii="Times New Roman" w:hAnsi="Times New Roman" w:eastAsia="宋体" w:cs="Times New Roman"/>
          <w:color w:val="000000"/>
          <w:szCs w:val="22"/>
          <w:highlight w:val="none"/>
        </w:rPr>
        <w:t>（</w:t>
      </w:r>
      <w:r>
        <w:rPr>
          <w:rFonts w:ascii="Times New Roman" w:hAnsi="Times New Roman" w:eastAsia="宋体" w:cs="Times New Roman"/>
          <w:color w:val="000000"/>
          <w:szCs w:val="22"/>
          <w:highlight w:val="none"/>
        </w:rPr>
        <w:t>2</w:t>
      </w:r>
      <w:r>
        <w:rPr>
          <w:rFonts w:hint="eastAsia" w:ascii="Times New Roman" w:hAnsi="Times New Roman" w:eastAsia="宋体" w:cs="Times New Roman"/>
          <w:color w:val="000000"/>
          <w:szCs w:val="22"/>
          <w:highlight w:val="none"/>
        </w:rPr>
        <w:t>）技术标统一采用仿宋字体；除图纸内、表格内、框图内文字、数字采用五号大小的仿宋字体外，其它文字、数字均采用四号仿宋字体；所有文字不得有任何修饰，不得加粗和出现下划线等；不设图签，不编页码号；</w:t>
      </w:r>
    </w:p>
    <w:p>
      <w:pPr>
        <w:spacing w:line="400" w:lineRule="exact"/>
        <w:ind w:firstLine="420" w:firstLineChars="200"/>
        <w:rPr>
          <w:rFonts w:ascii="Times New Roman" w:hAnsi="Times New Roman" w:eastAsia="宋体" w:cs="Times New Roman"/>
          <w:color w:val="000000"/>
          <w:szCs w:val="22"/>
          <w:highlight w:val="none"/>
        </w:rPr>
      </w:pPr>
      <w:r>
        <w:rPr>
          <w:rFonts w:hint="eastAsia" w:ascii="Times New Roman" w:hAnsi="Times New Roman" w:eastAsia="宋体" w:cs="Times New Roman"/>
          <w:color w:val="000000"/>
          <w:szCs w:val="22"/>
          <w:highlight w:val="none"/>
        </w:rPr>
        <w:t>（</w:t>
      </w:r>
      <w:r>
        <w:rPr>
          <w:rFonts w:ascii="Times New Roman" w:hAnsi="Times New Roman" w:eastAsia="宋体" w:cs="Times New Roman"/>
          <w:color w:val="000000"/>
          <w:szCs w:val="22"/>
          <w:highlight w:val="none"/>
        </w:rPr>
        <w:t>3</w:t>
      </w:r>
      <w:r>
        <w:rPr>
          <w:rFonts w:hint="eastAsia" w:ascii="Times New Roman" w:hAnsi="Times New Roman" w:eastAsia="宋体" w:cs="Times New Roman"/>
          <w:color w:val="000000"/>
          <w:szCs w:val="22"/>
          <w:highlight w:val="none"/>
        </w:rPr>
        <w:t>）技术标不做目录；页面设置为上、下、左、右均为</w:t>
      </w:r>
      <w:r>
        <w:rPr>
          <w:rFonts w:ascii="Times New Roman" w:hAnsi="Times New Roman" w:eastAsia="宋体" w:cs="Times New Roman"/>
          <w:color w:val="000000"/>
          <w:szCs w:val="22"/>
          <w:highlight w:val="none"/>
        </w:rPr>
        <w:t>2.4cm</w:t>
      </w:r>
      <w:r>
        <w:rPr>
          <w:rFonts w:hint="eastAsia" w:ascii="Times New Roman" w:hAnsi="Times New Roman" w:eastAsia="宋体" w:cs="Times New Roman"/>
          <w:color w:val="000000"/>
          <w:szCs w:val="22"/>
          <w:highlight w:val="none"/>
        </w:rPr>
        <w:t>；</w:t>
      </w:r>
    </w:p>
    <w:p>
      <w:pPr>
        <w:spacing w:line="400" w:lineRule="exact"/>
        <w:ind w:firstLine="420" w:firstLineChars="200"/>
        <w:rPr>
          <w:rFonts w:ascii="Times New Roman" w:hAnsi="Times New Roman" w:eastAsia="宋体" w:cs="Times New Roman"/>
          <w:color w:val="000000"/>
          <w:szCs w:val="22"/>
          <w:highlight w:val="none"/>
        </w:rPr>
      </w:pPr>
      <w:r>
        <w:rPr>
          <w:rFonts w:hint="eastAsia" w:ascii="Times New Roman" w:hAnsi="Times New Roman" w:eastAsia="宋体" w:cs="Times New Roman"/>
          <w:color w:val="000000"/>
          <w:szCs w:val="22"/>
          <w:highlight w:val="none"/>
        </w:rPr>
        <w:t>（</w:t>
      </w:r>
      <w:r>
        <w:rPr>
          <w:rFonts w:ascii="Times New Roman" w:hAnsi="Times New Roman" w:eastAsia="宋体" w:cs="Times New Roman"/>
          <w:color w:val="000000"/>
          <w:szCs w:val="22"/>
          <w:highlight w:val="none"/>
        </w:rPr>
        <w:t>4</w:t>
      </w:r>
      <w:r>
        <w:rPr>
          <w:rFonts w:hint="eastAsia" w:ascii="Times New Roman" w:hAnsi="Times New Roman" w:eastAsia="宋体" w:cs="Times New Roman"/>
          <w:color w:val="000000"/>
          <w:szCs w:val="22"/>
          <w:highlight w:val="none"/>
        </w:rPr>
        <w:t>）技术标中不得出现任何有关投标人的资料及可以识别的记号；</w:t>
      </w:r>
    </w:p>
    <w:p>
      <w:pPr>
        <w:spacing w:line="400" w:lineRule="exact"/>
        <w:ind w:firstLine="420" w:firstLineChars="200"/>
        <w:rPr>
          <w:rFonts w:ascii="Times New Roman" w:hAnsi="Times New Roman" w:eastAsia="宋体" w:cs="Times New Roman"/>
          <w:color w:val="000000"/>
          <w:szCs w:val="22"/>
          <w:highlight w:val="none"/>
        </w:rPr>
      </w:pPr>
      <w:r>
        <w:rPr>
          <w:rFonts w:hint="eastAsia" w:ascii="Times New Roman" w:hAnsi="Times New Roman" w:eastAsia="宋体" w:cs="Times New Roman"/>
          <w:color w:val="000000"/>
          <w:szCs w:val="22"/>
          <w:highlight w:val="none"/>
        </w:rPr>
        <w:t>（</w:t>
      </w:r>
      <w:r>
        <w:rPr>
          <w:rFonts w:ascii="Times New Roman" w:hAnsi="Times New Roman" w:eastAsia="宋体" w:cs="Times New Roman"/>
          <w:color w:val="000000"/>
          <w:szCs w:val="22"/>
          <w:highlight w:val="none"/>
        </w:rPr>
        <w:t>5</w:t>
      </w:r>
      <w:r>
        <w:rPr>
          <w:rFonts w:hint="eastAsia" w:ascii="Times New Roman" w:hAnsi="Times New Roman" w:eastAsia="宋体" w:cs="Times New Roman"/>
          <w:color w:val="000000"/>
          <w:szCs w:val="22"/>
          <w:highlight w:val="none"/>
        </w:rPr>
        <w:t>）图纸严格按规范要求绘制，不设图签；图纸上所有文字和线条不得采用彩色，线条可用细、粗实线和虚线；不得注明投标单位。</w:t>
      </w:r>
    </w:p>
    <w:p>
      <w:pPr>
        <w:pStyle w:val="3"/>
        <w:rPr>
          <w:rFonts w:ascii="Times New Roman" w:hAnsi="Times New Roman"/>
          <w:color w:val="000000"/>
          <w:highlight w:val="none"/>
        </w:rPr>
      </w:pPr>
      <w:bookmarkStart w:id="260" w:name="_Toc642183261"/>
      <w:r>
        <w:rPr>
          <w:rFonts w:ascii="Times New Roman" w:hAnsi="Times New Roman"/>
          <w:color w:val="000000"/>
          <w:highlight w:val="none"/>
        </w:rPr>
        <w:t>4. 投标</w:t>
      </w:r>
      <w:bookmarkEnd w:id="260"/>
    </w:p>
    <w:p>
      <w:pPr>
        <w:keepNext/>
        <w:keepLines/>
        <w:spacing w:line="360" w:lineRule="auto"/>
        <w:outlineLvl w:val="2"/>
        <w:rPr>
          <w:rFonts w:ascii="黑体" w:hAnsi="黑体" w:eastAsia="黑体" w:cs="黑体"/>
          <w:sz w:val="28"/>
          <w:szCs w:val="28"/>
          <w:highlight w:val="none"/>
        </w:rPr>
      </w:pPr>
      <w:bookmarkStart w:id="261" w:name="_Toc492300592"/>
      <w:bookmarkStart w:id="262" w:name="_Toc10082"/>
      <w:bookmarkStart w:id="263" w:name="_Toc1858249468"/>
      <w:bookmarkStart w:id="264" w:name="_Toc34984361"/>
      <w:r>
        <w:rPr>
          <w:rFonts w:hint="eastAsia" w:ascii="黑体" w:hAnsi="黑体" w:eastAsia="黑体" w:cs="黑体"/>
          <w:sz w:val="28"/>
          <w:szCs w:val="28"/>
          <w:highlight w:val="none"/>
        </w:rPr>
        <w:t>4.1 投标文件的加密（密封）和标记</w:t>
      </w:r>
      <w:bookmarkEnd w:id="261"/>
      <w:bookmarkEnd w:id="262"/>
      <w:bookmarkEnd w:id="263"/>
      <w:bookmarkEnd w:id="264"/>
    </w:p>
    <w:p>
      <w:pPr>
        <w:spacing w:line="400" w:lineRule="exact"/>
        <w:ind w:firstLine="420" w:firstLineChars="200"/>
        <w:rPr>
          <w:rFonts w:ascii="Times New Roman" w:hAnsi="Times New Roman" w:eastAsia="宋体" w:cs="Times New Roman"/>
          <w:color w:val="000000"/>
          <w:szCs w:val="22"/>
          <w:highlight w:val="none"/>
        </w:rPr>
      </w:pPr>
      <w:r>
        <w:rPr>
          <w:rFonts w:ascii="Times New Roman" w:hAnsi="Times New Roman" w:eastAsia="宋体" w:cs="Times New Roman"/>
          <w:color w:val="000000"/>
          <w:szCs w:val="22"/>
          <w:highlight w:val="none"/>
        </w:rPr>
        <w:t>4.1.1</w:t>
      </w:r>
      <w:r>
        <w:rPr>
          <w:rFonts w:hint="eastAsia" w:ascii="Times New Roman" w:hAnsi="Times New Roman" w:eastAsia="宋体" w:cs="Times New Roman"/>
          <w:color w:val="000000"/>
          <w:szCs w:val="22"/>
          <w:highlight w:val="none"/>
        </w:rPr>
        <w:t>投标文件应按照本章第</w:t>
      </w:r>
      <w:r>
        <w:rPr>
          <w:rFonts w:ascii="Times New Roman" w:hAnsi="Times New Roman" w:eastAsia="宋体" w:cs="Times New Roman"/>
          <w:color w:val="000000"/>
          <w:szCs w:val="22"/>
          <w:highlight w:val="none"/>
        </w:rPr>
        <w:t xml:space="preserve"> 3.7.3</w:t>
      </w:r>
      <w:r>
        <w:rPr>
          <w:rFonts w:hint="eastAsia" w:ascii="Times New Roman" w:hAnsi="Times New Roman" w:eastAsia="宋体" w:cs="Times New Roman"/>
          <w:color w:val="000000"/>
          <w:szCs w:val="22"/>
          <w:highlight w:val="none"/>
        </w:rPr>
        <w:t>项要求制作并加密，未按要求加密的投标文件将被拒绝接收。</w:t>
      </w:r>
    </w:p>
    <w:p>
      <w:pPr>
        <w:spacing w:line="400" w:lineRule="exact"/>
        <w:ind w:firstLine="420" w:firstLineChars="200"/>
        <w:rPr>
          <w:rFonts w:ascii="Times New Roman" w:hAnsi="Times New Roman" w:eastAsia="宋体" w:cs="Times New Roman"/>
          <w:color w:val="000000"/>
          <w:szCs w:val="22"/>
          <w:highlight w:val="none"/>
        </w:rPr>
      </w:pPr>
      <w:r>
        <w:rPr>
          <w:rFonts w:ascii="Times New Roman" w:hAnsi="Times New Roman" w:eastAsia="宋体" w:cs="Times New Roman"/>
          <w:color w:val="000000"/>
          <w:szCs w:val="22"/>
          <w:highlight w:val="none"/>
        </w:rPr>
        <w:t>4.1.2</w:t>
      </w:r>
      <w:r>
        <w:rPr>
          <w:rFonts w:hint="eastAsia" w:ascii="Times New Roman" w:hAnsi="Times New Roman" w:eastAsia="宋体" w:cs="Times New Roman"/>
          <w:color w:val="000000"/>
          <w:szCs w:val="22"/>
          <w:highlight w:val="none"/>
        </w:rPr>
        <w:t>非加密的投标文件电子介质及投标保函密封和标记要求见投标人须知前附表。非加密的投标文件电子介质及投标保函应在封口处加盖投标人单位章或由投标人的法定代人或其授权的代理人签字，未按规定封装或加写标记，招标人将不承担投标文件未被开启或提前开启的责任。</w:t>
      </w:r>
    </w:p>
    <w:p>
      <w:pPr>
        <w:keepNext/>
        <w:keepLines/>
        <w:spacing w:line="360" w:lineRule="auto"/>
        <w:outlineLvl w:val="2"/>
        <w:rPr>
          <w:rFonts w:ascii="黑体" w:hAnsi="黑体" w:eastAsia="黑体" w:cs="黑体"/>
          <w:sz w:val="28"/>
          <w:szCs w:val="28"/>
          <w:highlight w:val="none"/>
        </w:rPr>
      </w:pPr>
      <w:bookmarkStart w:id="265" w:name="_Toc25084"/>
      <w:bookmarkStart w:id="266" w:name="_Toc492300593"/>
      <w:bookmarkStart w:id="267" w:name="_Toc34984362"/>
      <w:bookmarkStart w:id="268" w:name="_Toc457573367"/>
      <w:r>
        <w:rPr>
          <w:rFonts w:hint="eastAsia" w:ascii="黑体" w:hAnsi="黑体" w:eastAsia="黑体" w:cs="黑体"/>
          <w:sz w:val="28"/>
          <w:szCs w:val="28"/>
          <w:highlight w:val="none"/>
        </w:rPr>
        <w:t>4.2 投标文件的递交</w:t>
      </w:r>
      <w:bookmarkEnd w:id="265"/>
      <w:bookmarkEnd w:id="266"/>
      <w:bookmarkEnd w:id="267"/>
      <w:bookmarkEnd w:id="268"/>
    </w:p>
    <w:p>
      <w:pPr>
        <w:spacing w:line="400" w:lineRule="exact"/>
        <w:ind w:firstLine="420" w:firstLineChars="200"/>
        <w:rPr>
          <w:rFonts w:ascii="Times New Roman" w:hAnsi="Times New Roman" w:eastAsia="宋体" w:cs="Times New Roman"/>
          <w:color w:val="000000"/>
          <w:szCs w:val="22"/>
          <w:highlight w:val="none"/>
        </w:rPr>
      </w:pPr>
      <w:r>
        <w:rPr>
          <w:rFonts w:ascii="Times New Roman" w:hAnsi="Times New Roman" w:eastAsia="宋体" w:cs="Times New Roman"/>
          <w:color w:val="000000"/>
          <w:szCs w:val="22"/>
          <w:highlight w:val="none"/>
        </w:rPr>
        <w:t>4.2.1</w:t>
      </w:r>
      <w:r>
        <w:rPr>
          <w:rFonts w:hint="eastAsia" w:ascii="Times New Roman" w:hAnsi="Times New Roman" w:eastAsia="宋体" w:cs="Times New Roman"/>
          <w:color w:val="000000"/>
          <w:szCs w:val="22"/>
          <w:highlight w:val="none"/>
        </w:rPr>
        <w:t>投标人应当在投标人须知前附表规定的投标截止时间前，将加密的投标文件在电子交易系统上传，并保存上传成功后系统自动生成的电子签收凭证，递交时间即为电子签收凭证时间。</w:t>
      </w:r>
    </w:p>
    <w:p>
      <w:pPr>
        <w:spacing w:line="400" w:lineRule="exact"/>
        <w:ind w:firstLine="420" w:firstLineChars="200"/>
        <w:rPr>
          <w:rFonts w:ascii="Times New Roman" w:hAnsi="Times New Roman" w:eastAsia="宋体" w:cs="Times New Roman"/>
          <w:color w:val="000000"/>
          <w:szCs w:val="22"/>
          <w:highlight w:val="none"/>
        </w:rPr>
      </w:pPr>
      <w:r>
        <w:rPr>
          <w:rFonts w:ascii="Times New Roman" w:hAnsi="Times New Roman" w:eastAsia="宋体" w:cs="Times New Roman"/>
          <w:color w:val="000000"/>
          <w:szCs w:val="22"/>
          <w:highlight w:val="none"/>
        </w:rPr>
        <w:t xml:space="preserve">4.2.2 </w:t>
      </w:r>
      <w:r>
        <w:rPr>
          <w:rFonts w:hint="eastAsia" w:ascii="Times New Roman" w:hAnsi="Times New Roman" w:eastAsia="宋体" w:cs="Times New Roman"/>
          <w:color w:val="000000"/>
          <w:szCs w:val="22"/>
          <w:highlight w:val="none"/>
        </w:rPr>
        <w:t>投标人递交非加密电子投标文件的地点：见投标人须知前附表。招标人收到非加密投标文件后由投标人代表登记或向投标人出具签收凭证。</w:t>
      </w:r>
    </w:p>
    <w:p>
      <w:pPr>
        <w:spacing w:line="400" w:lineRule="exact"/>
        <w:ind w:firstLine="420" w:firstLineChars="200"/>
        <w:rPr>
          <w:rFonts w:ascii="Times New Roman" w:hAnsi="Times New Roman" w:eastAsia="宋体" w:cs="Times New Roman"/>
          <w:color w:val="000000"/>
          <w:szCs w:val="22"/>
          <w:highlight w:val="none"/>
        </w:rPr>
      </w:pPr>
      <w:r>
        <w:rPr>
          <w:rFonts w:ascii="Times New Roman" w:hAnsi="Times New Roman" w:eastAsia="宋体" w:cs="Times New Roman"/>
          <w:color w:val="000000"/>
          <w:szCs w:val="22"/>
          <w:highlight w:val="none"/>
        </w:rPr>
        <w:t xml:space="preserve">4.2.3 </w:t>
      </w:r>
      <w:r>
        <w:rPr>
          <w:rFonts w:hint="eastAsia" w:ascii="Times New Roman" w:hAnsi="Times New Roman" w:eastAsia="宋体" w:cs="Times New Roman"/>
          <w:color w:val="000000"/>
          <w:szCs w:val="22"/>
          <w:highlight w:val="none"/>
        </w:rPr>
        <w:t>除投标人须知前附表另有规定外，投标人所递交的投标文件不予退还。</w:t>
      </w:r>
    </w:p>
    <w:p>
      <w:pPr>
        <w:spacing w:line="400" w:lineRule="exact"/>
        <w:ind w:firstLine="420" w:firstLineChars="200"/>
        <w:rPr>
          <w:rFonts w:ascii="Times New Roman" w:hAnsi="Times New Roman" w:eastAsia="宋体" w:cs="Times New Roman"/>
          <w:color w:val="000000"/>
          <w:szCs w:val="22"/>
          <w:highlight w:val="none"/>
        </w:rPr>
      </w:pPr>
      <w:r>
        <w:rPr>
          <w:rFonts w:ascii="Times New Roman" w:hAnsi="Times New Roman" w:eastAsia="宋体" w:cs="Times New Roman"/>
          <w:color w:val="000000"/>
          <w:szCs w:val="22"/>
          <w:highlight w:val="none"/>
        </w:rPr>
        <w:t>4.2.4</w:t>
      </w:r>
      <w:r>
        <w:rPr>
          <w:rFonts w:hint="eastAsia" w:ascii="Times New Roman" w:hAnsi="Times New Roman" w:eastAsia="宋体" w:cs="Times New Roman"/>
          <w:color w:val="000000"/>
          <w:szCs w:val="22"/>
          <w:highlight w:val="none"/>
        </w:rPr>
        <w:t>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pPr>
        <w:spacing w:line="400" w:lineRule="exact"/>
        <w:ind w:firstLine="420" w:firstLineChars="200"/>
        <w:rPr>
          <w:rFonts w:ascii="Times New Roman" w:hAnsi="Times New Roman" w:eastAsia="宋体" w:cs="Times New Roman"/>
          <w:color w:val="000000"/>
          <w:szCs w:val="22"/>
          <w:highlight w:val="none"/>
        </w:rPr>
      </w:pPr>
      <w:r>
        <w:rPr>
          <w:rFonts w:ascii="Times New Roman" w:hAnsi="Times New Roman" w:eastAsia="宋体" w:cs="Times New Roman"/>
          <w:color w:val="000000"/>
          <w:szCs w:val="22"/>
          <w:highlight w:val="none"/>
        </w:rPr>
        <w:t>4.2.5</w:t>
      </w:r>
      <w:r>
        <w:rPr>
          <w:rFonts w:hint="eastAsia" w:ascii="Times New Roman" w:hAnsi="Times New Roman" w:eastAsia="宋体" w:cs="Times New Roman"/>
          <w:color w:val="000000"/>
          <w:szCs w:val="22"/>
          <w:highlight w:val="none"/>
        </w:rPr>
        <w:t>逾期送达的或者未送达指定地点的非加密投标文件电子介质，招标人不予接收，但不影响其已按招标文件要求从电子交易系统递交的加密电子投标文件的有效性。未从电子交易系统递交加密电子投标文件的，投标人递交的非加密投标文件电子介质将被视为无效。</w:t>
      </w:r>
    </w:p>
    <w:p>
      <w:pPr>
        <w:spacing w:line="400" w:lineRule="exact"/>
        <w:ind w:firstLine="420" w:firstLineChars="200"/>
        <w:rPr>
          <w:rFonts w:ascii="Times New Roman" w:hAnsi="Times New Roman" w:eastAsia="宋体" w:cs="Times New Roman"/>
          <w:color w:val="000000"/>
          <w:szCs w:val="22"/>
          <w:highlight w:val="none"/>
        </w:rPr>
      </w:pPr>
      <w:r>
        <w:rPr>
          <w:rFonts w:ascii="Times New Roman" w:hAnsi="Times New Roman" w:eastAsia="宋体" w:cs="Times New Roman"/>
          <w:color w:val="000000"/>
          <w:szCs w:val="22"/>
          <w:highlight w:val="none"/>
        </w:rPr>
        <w:t xml:space="preserve">4.2.6 </w:t>
      </w:r>
      <w:r>
        <w:rPr>
          <w:rFonts w:hint="eastAsia" w:ascii="Times New Roman" w:hAnsi="Times New Roman" w:eastAsia="宋体" w:cs="Times New Roman"/>
          <w:color w:val="000000"/>
          <w:szCs w:val="22"/>
          <w:highlight w:val="none"/>
        </w:rPr>
        <w:t>投标人在本章第</w:t>
      </w:r>
      <w:r>
        <w:rPr>
          <w:rFonts w:ascii="Times New Roman" w:hAnsi="Times New Roman" w:eastAsia="宋体" w:cs="Times New Roman"/>
          <w:color w:val="000000"/>
          <w:szCs w:val="22"/>
          <w:highlight w:val="none"/>
        </w:rPr>
        <w:t>5.2</w:t>
      </w:r>
      <w:r>
        <w:rPr>
          <w:rFonts w:hint="eastAsia" w:ascii="Times New Roman" w:hAnsi="Times New Roman" w:eastAsia="宋体" w:cs="Times New Roman"/>
          <w:color w:val="000000"/>
          <w:szCs w:val="22"/>
          <w:highlight w:val="none"/>
        </w:rPr>
        <w:t>款规定的解密时间（以电子交易系统解密倒计时为准）内完成电子投标文件的解密工作，未能成功解密的投标人，如已按规定递交非加密投标文件电子介质，则可导入非加密投标文件电子介质继续开标。若电子交易系统识别出非加密电子投标文件和加密投标文件识别码不一致，电子开标系统将拒绝导入。</w:t>
      </w:r>
    </w:p>
    <w:p>
      <w:pPr>
        <w:keepNext/>
        <w:keepLines/>
        <w:spacing w:line="360" w:lineRule="auto"/>
        <w:outlineLvl w:val="2"/>
        <w:rPr>
          <w:rFonts w:ascii="黑体" w:hAnsi="黑体" w:eastAsia="黑体" w:cs="黑体"/>
          <w:sz w:val="28"/>
          <w:szCs w:val="28"/>
          <w:highlight w:val="none"/>
        </w:rPr>
      </w:pPr>
      <w:bookmarkStart w:id="269" w:name="_Toc1057650801"/>
      <w:bookmarkStart w:id="270" w:name="_Toc492300594"/>
      <w:bookmarkStart w:id="271" w:name="_Toc15434"/>
      <w:bookmarkStart w:id="272" w:name="_Toc34984363"/>
      <w:r>
        <w:rPr>
          <w:rFonts w:hint="eastAsia" w:ascii="黑体" w:hAnsi="黑体" w:eastAsia="黑体" w:cs="黑体"/>
          <w:sz w:val="28"/>
          <w:szCs w:val="28"/>
          <w:highlight w:val="none"/>
        </w:rPr>
        <w:t>4.3 投标文件的修改与撤回</w:t>
      </w:r>
      <w:bookmarkEnd w:id="269"/>
      <w:bookmarkEnd w:id="270"/>
      <w:bookmarkEnd w:id="271"/>
      <w:bookmarkEnd w:id="272"/>
    </w:p>
    <w:p>
      <w:pPr>
        <w:spacing w:line="400" w:lineRule="exact"/>
        <w:ind w:firstLine="420" w:firstLineChars="200"/>
        <w:rPr>
          <w:rFonts w:ascii="Times New Roman" w:hAnsi="Times New Roman" w:eastAsia="宋体" w:cs="Times New Roman"/>
          <w:color w:val="000000"/>
          <w:szCs w:val="22"/>
          <w:highlight w:val="none"/>
        </w:rPr>
      </w:pPr>
      <w:r>
        <w:rPr>
          <w:rFonts w:ascii="Times New Roman" w:hAnsi="Times New Roman" w:eastAsia="宋体" w:cs="Times New Roman"/>
          <w:color w:val="000000"/>
          <w:szCs w:val="22"/>
          <w:highlight w:val="none"/>
        </w:rPr>
        <w:t xml:space="preserve">4.3.1 </w:t>
      </w:r>
      <w:r>
        <w:rPr>
          <w:rFonts w:hint="eastAsia" w:ascii="Times New Roman" w:hAnsi="Times New Roman" w:eastAsia="宋体" w:cs="Times New Roman"/>
          <w:color w:val="000000"/>
          <w:szCs w:val="22"/>
          <w:highlight w:val="none"/>
        </w:rPr>
        <w:t>在本章第</w:t>
      </w:r>
      <w:r>
        <w:rPr>
          <w:rFonts w:ascii="Times New Roman" w:hAnsi="Times New Roman" w:eastAsia="宋体" w:cs="Times New Roman"/>
          <w:color w:val="000000"/>
          <w:szCs w:val="22"/>
          <w:highlight w:val="none"/>
        </w:rPr>
        <w:t>4.2.1</w:t>
      </w:r>
      <w:r>
        <w:rPr>
          <w:rFonts w:hint="eastAsia" w:ascii="Times New Roman" w:hAnsi="Times New Roman" w:eastAsia="宋体" w:cs="Times New Roman"/>
          <w:color w:val="000000"/>
          <w:szCs w:val="22"/>
          <w:highlight w:val="none"/>
        </w:rPr>
        <w:t>项规定的投标截止时间前，投标人可以修改或撤回已递交的投标文件。投标人对加密的投标文件进行撤回的，应在电子交易系统直接进行撤回操作；投标人对加密的投标文件进行修改的，应在投标截止时间前完成上传。投标人修改投标文件的，应使用“投标文件制作工具”制作成完整的投标文件，并按照本章第</w:t>
      </w:r>
      <w:r>
        <w:rPr>
          <w:rFonts w:ascii="Times New Roman" w:hAnsi="Times New Roman" w:eastAsia="宋体" w:cs="Times New Roman"/>
          <w:color w:val="000000"/>
          <w:szCs w:val="22"/>
          <w:highlight w:val="none"/>
        </w:rPr>
        <w:t>3</w:t>
      </w:r>
      <w:r>
        <w:rPr>
          <w:rFonts w:hint="eastAsia" w:ascii="Times New Roman" w:hAnsi="Times New Roman" w:eastAsia="宋体" w:cs="Times New Roman"/>
          <w:color w:val="000000"/>
          <w:szCs w:val="22"/>
          <w:highlight w:val="none"/>
        </w:rPr>
        <w:t>条、第</w:t>
      </w:r>
      <w:r>
        <w:rPr>
          <w:rFonts w:ascii="Times New Roman" w:hAnsi="Times New Roman" w:eastAsia="宋体" w:cs="Times New Roman"/>
          <w:color w:val="000000"/>
          <w:szCs w:val="22"/>
          <w:highlight w:val="none"/>
        </w:rPr>
        <w:t>4</w:t>
      </w:r>
      <w:r>
        <w:rPr>
          <w:rFonts w:hint="eastAsia" w:ascii="Times New Roman" w:hAnsi="Times New Roman" w:eastAsia="宋体" w:cs="Times New Roman"/>
          <w:color w:val="000000"/>
          <w:szCs w:val="22"/>
          <w:highlight w:val="none"/>
        </w:rPr>
        <w:t>条规定进行编制、加密和递交。</w:t>
      </w:r>
    </w:p>
    <w:p>
      <w:pPr>
        <w:spacing w:line="400" w:lineRule="exact"/>
        <w:ind w:firstLine="420" w:firstLineChars="200"/>
        <w:rPr>
          <w:rFonts w:hint="eastAsia" w:ascii="Times New Roman" w:hAnsi="Times New Roman" w:eastAsia="宋体" w:cs="Times New Roman"/>
          <w:color w:val="000000"/>
          <w:szCs w:val="22"/>
          <w:highlight w:val="none"/>
        </w:rPr>
      </w:pPr>
      <w:r>
        <w:rPr>
          <w:rFonts w:hint="eastAsia" w:ascii="Times New Roman" w:hAnsi="Times New Roman" w:eastAsia="宋体" w:cs="Times New Roman"/>
          <w:color w:val="000000"/>
          <w:szCs w:val="22"/>
          <w:highlight w:val="none"/>
        </w:rPr>
        <w:t>4.3.2 投标人修改或撤回已递交的非加密投标文件的，应当以书面形式通知招标人。书面通知应由投标人的法定代表人或其授权的代理人签字或盖单位章。招标人收到书面通知后，向投标人出具签收凭证。</w:t>
      </w:r>
    </w:p>
    <w:p>
      <w:pPr>
        <w:pStyle w:val="3"/>
        <w:rPr>
          <w:rFonts w:ascii="Times New Roman" w:hAnsi="Times New Roman"/>
          <w:color w:val="000000"/>
          <w:highlight w:val="none"/>
        </w:rPr>
      </w:pPr>
      <w:bookmarkStart w:id="273" w:name="_Toc273685535"/>
      <w:r>
        <w:rPr>
          <w:rFonts w:ascii="Times New Roman" w:hAnsi="Times New Roman"/>
          <w:color w:val="000000"/>
          <w:highlight w:val="none"/>
        </w:rPr>
        <w:t>5. 开标</w:t>
      </w:r>
      <w:bookmarkEnd w:id="273"/>
    </w:p>
    <w:p>
      <w:pPr>
        <w:keepNext/>
        <w:keepLines/>
        <w:spacing w:line="360" w:lineRule="auto"/>
        <w:outlineLvl w:val="2"/>
        <w:rPr>
          <w:rFonts w:ascii="黑体" w:hAnsi="黑体" w:eastAsia="黑体" w:cs="黑体"/>
          <w:sz w:val="28"/>
          <w:szCs w:val="28"/>
          <w:highlight w:val="none"/>
        </w:rPr>
      </w:pPr>
      <w:bookmarkStart w:id="274" w:name="_Toc34984365"/>
      <w:bookmarkStart w:id="275" w:name="_Toc492300596"/>
      <w:bookmarkStart w:id="276" w:name="_Toc21561"/>
      <w:bookmarkStart w:id="277" w:name="_Toc2000687329"/>
      <w:r>
        <w:rPr>
          <w:rFonts w:hint="eastAsia" w:ascii="黑体" w:hAnsi="黑体" w:eastAsia="黑体" w:cs="黑体"/>
          <w:sz w:val="28"/>
          <w:szCs w:val="28"/>
          <w:highlight w:val="none"/>
        </w:rPr>
        <w:t>5.1 开标时间和地点</w:t>
      </w:r>
      <w:bookmarkEnd w:id="274"/>
      <w:bookmarkEnd w:id="275"/>
      <w:bookmarkEnd w:id="276"/>
      <w:bookmarkEnd w:id="277"/>
    </w:p>
    <w:p>
      <w:pPr>
        <w:spacing w:line="400" w:lineRule="exact"/>
        <w:ind w:firstLine="420" w:firstLineChars="200"/>
        <w:rPr>
          <w:rFonts w:ascii="Times New Roman" w:hAnsi="Times New Roman" w:eastAsia="宋体" w:cs="Times New Roman"/>
          <w:color w:val="000000"/>
          <w:szCs w:val="22"/>
          <w:highlight w:val="none"/>
        </w:rPr>
      </w:pPr>
      <w:bookmarkStart w:id="278" w:name="_Toc492300597"/>
      <w:r>
        <w:rPr>
          <w:rFonts w:hint="eastAsia" w:ascii="Times New Roman" w:hAnsi="Times New Roman" w:eastAsia="宋体" w:cs="Times New Roman"/>
          <w:color w:val="000000"/>
          <w:szCs w:val="22"/>
          <w:highlight w:val="none"/>
        </w:rPr>
        <w:t>招标人在本章第</w:t>
      </w:r>
      <w:r>
        <w:rPr>
          <w:rFonts w:ascii="Times New Roman" w:hAnsi="Times New Roman" w:eastAsia="宋体" w:cs="Times New Roman"/>
          <w:color w:val="000000"/>
          <w:szCs w:val="22"/>
          <w:highlight w:val="none"/>
        </w:rPr>
        <w:t xml:space="preserve"> 4.2.1 </w:t>
      </w:r>
      <w:r>
        <w:rPr>
          <w:rFonts w:hint="eastAsia" w:ascii="Times New Roman" w:hAnsi="Times New Roman" w:eastAsia="宋体" w:cs="Times New Roman"/>
          <w:color w:val="000000"/>
          <w:szCs w:val="22"/>
          <w:highlight w:val="none"/>
        </w:rPr>
        <w:t>项规定的投标截止时间（开标时间），</w:t>
      </w:r>
      <w:r>
        <w:rPr>
          <w:rFonts w:hint="eastAsia" w:ascii="仿宋_GB2312" w:hAnsi="宋体" w:eastAsia="仿宋_GB2312"/>
          <w:highlight w:val="none"/>
        </w:rPr>
        <w:t>通过</w:t>
      </w:r>
      <w:r>
        <w:rPr>
          <w:rFonts w:hint="eastAsia" w:ascii="仿宋_GB2312" w:hAnsi="宋体" w:eastAsia="仿宋_GB2312" w:cs="楷体"/>
          <w:bCs/>
          <w:snapToGrid w:val="0"/>
          <w:kern w:val="0"/>
          <w:szCs w:val="21"/>
          <w:highlight w:val="none"/>
        </w:rPr>
        <w:t>电子</w:t>
      </w:r>
      <w:r>
        <w:rPr>
          <w:rFonts w:hint="eastAsia" w:ascii="仿宋_GB2312" w:hAnsi="宋体" w:eastAsia="仿宋_GB2312" w:cs="楷体"/>
          <w:bCs/>
          <w:snapToGrid w:val="0"/>
          <w:kern w:val="0"/>
          <w:szCs w:val="21"/>
          <w:highlight w:val="none"/>
          <w:lang w:eastAsia="zh-CN"/>
        </w:rPr>
        <w:t>招标投标</w:t>
      </w:r>
      <w:r>
        <w:rPr>
          <w:rFonts w:hint="eastAsia" w:ascii="仿宋_GB2312" w:hAnsi="宋体" w:eastAsia="仿宋_GB2312" w:cs="楷体"/>
          <w:bCs/>
          <w:snapToGrid w:val="0"/>
          <w:kern w:val="0"/>
          <w:szCs w:val="21"/>
          <w:highlight w:val="none"/>
        </w:rPr>
        <w:t>交易</w:t>
      </w:r>
      <w:r>
        <w:rPr>
          <w:rFonts w:hint="eastAsia" w:ascii="仿宋_GB2312" w:hAnsi="宋体" w:eastAsia="仿宋_GB2312" w:cs="楷体"/>
          <w:bCs/>
          <w:snapToGrid w:val="0"/>
          <w:kern w:val="0"/>
          <w:szCs w:val="21"/>
          <w:highlight w:val="none"/>
          <w:lang w:eastAsia="zh-CN"/>
        </w:rPr>
        <w:t>平台</w:t>
      </w:r>
      <w:r>
        <w:rPr>
          <w:rFonts w:hint="eastAsia" w:ascii="仿宋_GB2312" w:hAnsi="宋体" w:eastAsia="仿宋_GB2312"/>
          <w:highlight w:val="none"/>
        </w:rPr>
        <w:t>公开开标</w:t>
      </w:r>
      <w:r>
        <w:rPr>
          <w:rFonts w:hint="eastAsia" w:ascii="仿宋_GB2312" w:hAnsi="宋体" w:eastAsia="仿宋_GB2312"/>
          <w:highlight w:val="none"/>
          <w:lang w:eastAsia="zh-CN"/>
        </w:rPr>
        <w:t>。</w:t>
      </w:r>
      <w:r>
        <w:rPr>
          <w:b/>
          <w:bCs/>
          <w:color w:val="auto"/>
        </w:rPr>
        <w:t>（具体</w:t>
      </w:r>
      <w:r>
        <w:rPr>
          <w:rFonts w:hint="eastAsia"/>
          <w:b/>
          <w:bCs/>
          <w:color w:val="auto"/>
        </w:rPr>
        <w:t>由交易中心据实调整</w:t>
      </w:r>
      <w:r>
        <w:rPr>
          <w:b/>
          <w:bCs/>
          <w:color w:val="auto"/>
        </w:rPr>
        <w:t>）</w:t>
      </w:r>
    </w:p>
    <w:bookmarkEnd w:id="278"/>
    <w:p>
      <w:pPr>
        <w:keepNext/>
        <w:keepLines/>
        <w:spacing w:line="360" w:lineRule="auto"/>
        <w:outlineLvl w:val="2"/>
        <w:rPr>
          <w:rFonts w:ascii="黑体" w:hAnsi="黑体" w:eastAsia="黑体" w:cs="黑体"/>
          <w:sz w:val="28"/>
          <w:szCs w:val="28"/>
          <w:highlight w:val="none"/>
        </w:rPr>
      </w:pPr>
      <w:bookmarkStart w:id="279" w:name="_Toc22492"/>
      <w:bookmarkStart w:id="280" w:name="_Toc20908"/>
      <w:bookmarkStart w:id="281" w:name="_Toc18633"/>
      <w:bookmarkStart w:id="282" w:name="_Toc8148"/>
      <w:bookmarkStart w:id="283" w:name="_Toc2037843018"/>
      <w:bookmarkStart w:id="284" w:name="_Toc11277"/>
      <w:bookmarkStart w:id="285" w:name="_Toc524698290"/>
      <w:bookmarkStart w:id="286" w:name="_Toc5551"/>
      <w:bookmarkStart w:id="287" w:name="_Toc12922"/>
      <w:r>
        <w:rPr>
          <w:rFonts w:hint="eastAsia" w:ascii="黑体" w:hAnsi="黑体" w:eastAsia="黑体" w:cs="黑体"/>
          <w:sz w:val="28"/>
          <w:szCs w:val="28"/>
          <w:highlight w:val="none"/>
        </w:rPr>
        <w:t>5.2 开标程序</w:t>
      </w:r>
      <w:bookmarkEnd w:id="279"/>
      <w:bookmarkEnd w:id="280"/>
      <w:bookmarkEnd w:id="281"/>
      <w:bookmarkEnd w:id="282"/>
      <w:bookmarkEnd w:id="283"/>
      <w:bookmarkEnd w:id="284"/>
      <w:bookmarkEnd w:id="285"/>
      <w:bookmarkEnd w:id="286"/>
      <w:bookmarkEnd w:id="287"/>
    </w:p>
    <w:p>
      <w:pPr>
        <w:spacing w:line="400" w:lineRule="exact"/>
        <w:ind w:firstLine="420" w:firstLineChars="200"/>
        <w:rPr>
          <w:rFonts w:ascii="Times New Roman" w:hAnsi="Times New Roman" w:eastAsia="宋体" w:cs="Times New Roman"/>
          <w:color w:val="000000"/>
          <w:szCs w:val="22"/>
          <w:highlight w:val="none"/>
        </w:rPr>
      </w:pPr>
      <w:r>
        <w:rPr>
          <w:rFonts w:hint="eastAsia" w:ascii="Times New Roman" w:hAnsi="Times New Roman" w:eastAsia="宋体" w:cs="Times New Roman"/>
          <w:color w:val="000000"/>
          <w:szCs w:val="22"/>
          <w:highlight w:val="none"/>
        </w:rPr>
        <w:t>主持人按下列程序进行开标：</w:t>
      </w:r>
    </w:p>
    <w:p>
      <w:pPr>
        <w:spacing w:line="400" w:lineRule="exact"/>
        <w:ind w:firstLine="420" w:firstLineChars="200"/>
        <w:rPr>
          <w:rFonts w:ascii="Times New Roman" w:hAnsi="Times New Roman" w:eastAsia="宋体" w:cs="Times New Roman"/>
          <w:color w:val="000000"/>
          <w:szCs w:val="22"/>
          <w:highlight w:val="none"/>
        </w:rPr>
      </w:pPr>
      <w:r>
        <w:rPr>
          <w:rFonts w:hint="eastAsia" w:ascii="Times New Roman" w:hAnsi="Times New Roman" w:eastAsia="宋体" w:cs="Times New Roman"/>
          <w:color w:val="000000"/>
          <w:szCs w:val="22"/>
          <w:highlight w:val="none"/>
        </w:rPr>
        <w:t>（</w:t>
      </w:r>
      <w:r>
        <w:rPr>
          <w:rFonts w:ascii="Times New Roman" w:hAnsi="Times New Roman" w:eastAsia="宋体" w:cs="Times New Roman"/>
          <w:color w:val="000000"/>
          <w:szCs w:val="22"/>
          <w:highlight w:val="none"/>
        </w:rPr>
        <w:t>1</w:t>
      </w:r>
      <w:r>
        <w:rPr>
          <w:rFonts w:hint="eastAsia" w:ascii="Times New Roman" w:hAnsi="Times New Roman" w:eastAsia="宋体" w:cs="Times New Roman"/>
          <w:color w:val="000000"/>
          <w:szCs w:val="22"/>
          <w:highlight w:val="none"/>
        </w:rPr>
        <w:t>）公布在投标截止时间前通过电子交易系统完成投标文件递交的投标人名称；</w:t>
      </w:r>
    </w:p>
    <w:p>
      <w:pPr>
        <w:spacing w:line="400" w:lineRule="exact"/>
        <w:ind w:firstLine="420" w:firstLineChars="200"/>
        <w:rPr>
          <w:rFonts w:ascii="Times New Roman" w:hAnsi="Times New Roman" w:eastAsia="宋体" w:cs="Times New Roman"/>
          <w:color w:val="000000"/>
          <w:szCs w:val="22"/>
          <w:highlight w:val="none"/>
        </w:rPr>
      </w:pPr>
      <w:r>
        <w:rPr>
          <w:rFonts w:hint="eastAsia" w:ascii="Times New Roman" w:hAnsi="Times New Roman" w:eastAsia="宋体" w:cs="Times New Roman"/>
          <w:color w:val="000000"/>
          <w:szCs w:val="22"/>
          <w:highlight w:val="none"/>
        </w:rPr>
        <w:t>（</w:t>
      </w:r>
      <w:r>
        <w:rPr>
          <w:rFonts w:ascii="Times New Roman" w:hAnsi="Times New Roman" w:eastAsia="宋体" w:cs="Times New Roman"/>
          <w:color w:val="000000"/>
          <w:szCs w:val="22"/>
          <w:highlight w:val="none"/>
        </w:rPr>
        <w:t>2</w:t>
      </w:r>
      <w:r>
        <w:rPr>
          <w:rFonts w:hint="eastAsia" w:ascii="Times New Roman" w:hAnsi="Times New Roman" w:eastAsia="宋体" w:cs="Times New Roman"/>
          <w:color w:val="000000"/>
          <w:szCs w:val="22"/>
          <w:highlight w:val="none"/>
        </w:rPr>
        <w:t>）由投标人推选的代表检查非加密投标文件电子介质及投标保函原件的密封情况；（如有）</w:t>
      </w:r>
    </w:p>
    <w:p>
      <w:pPr>
        <w:spacing w:line="400" w:lineRule="exact"/>
        <w:ind w:firstLine="420" w:firstLineChars="200"/>
        <w:rPr>
          <w:rFonts w:ascii="Times New Roman" w:hAnsi="Times New Roman" w:eastAsia="宋体" w:cs="Times New Roman"/>
          <w:color w:val="000000"/>
          <w:szCs w:val="22"/>
          <w:highlight w:val="none"/>
        </w:rPr>
      </w:pPr>
      <w:r>
        <w:rPr>
          <w:rFonts w:hint="eastAsia" w:ascii="Times New Roman" w:hAnsi="Times New Roman" w:eastAsia="宋体" w:cs="Times New Roman"/>
          <w:color w:val="000000"/>
          <w:szCs w:val="22"/>
          <w:highlight w:val="none"/>
        </w:rPr>
        <w:t>（</w:t>
      </w:r>
      <w:r>
        <w:rPr>
          <w:rFonts w:hint="eastAsia" w:ascii="Times New Roman" w:hAnsi="Times New Roman" w:cs="Times New Roman"/>
          <w:color w:val="000000"/>
          <w:szCs w:val="22"/>
          <w:highlight w:val="none"/>
          <w:lang w:eastAsia="zh-CN"/>
        </w:rPr>
        <w:t>3</w:t>
      </w:r>
      <w:r>
        <w:rPr>
          <w:rFonts w:hint="eastAsia" w:ascii="Times New Roman" w:hAnsi="Times New Roman" w:eastAsia="宋体" w:cs="Times New Roman"/>
          <w:color w:val="000000"/>
          <w:szCs w:val="22"/>
          <w:highlight w:val="none"/>
        </w:rPr>
        <w:t>）投标人在投标截止时间后在投标人须知前附表规定的解密时间内完成投标文件的解密工作；</w:t>
      </w:r>
    </w:p>
    <w:p>
      <w:pPr>
        <w:spacing w:line="400" w:lineRule="exact"/>
        <w:ind w:firstLine="420" w:firstLineChars="200"/>
        <w:rPr>
          <w:rFonts w:hint="eastAsia" w:ascii="Times New Roman" w:hAnsi="Times New Roman" w:eastAsia="宋体" w:cs="Times New Roman"/>
          <w:color w:val="000000"/>
          <w:szCs w:val="22"/>
          <w:highlight w:val="none"/>
        </w:rPr>
      </w:pPr>
      <w:r>
        <w:rPr>
          <w:rFonts w:hint="eastAsia" w:ascii="Times New Roman" w:hAnsi="Times New Roman" w:eastAsia="宋体" w:cs="Times New Roman"/>
          <w:color w:val="000000"/>
          <w:szCs w:val="22"/>
          <w:highlight w:val="none"/>
        </w:rPr>
        <w:t>（</w:t>
      </w:r>
      <w:r>
        <w:rPr>
          <w:rFonts w:hint="eastAsia" w:ascii="Times New Roman" w:hAnsi="Times New Roman" w:cs="Times New Roman"/>
          <w:color w:val="000000"/>
          <w:szCs w:val="22"/>
          <w:highlight w:val="none"/>
          <w:lang w:val="en-US" w:eastAsia="zh-CN"/>
        </w:rPr>
        <w:t>4</w:t>
      </w:r>
      <w:r>
        <w:rPr>
          <w:rFonts w:hint="eastAsia" w:ascii="Times New Roman" w:hAnsi="Times New Roman" w:eastAsia="宋体" w:cs="Times New Roman"/>
          <w:color w:val="000000"/>
          <w:szCs w:val="22"/>
          <w:highlight w:val="none"/>
        </w:rPr>
        <w:t>）评标办法中规定设有权重的，由系统抽取权重；</w:t>
      </w:r>
    </w:p>
    <w:p>
      <w:pPr>
        <w:spacing w:line="400" w:lineRule="exact"/>
        <w:ind w:firstLine="420" w:firstLineChars="200"/>
        <w:rPr>
          <w:rFonts w:ascii="Times New Roman" w:hAnsi="Times New Roman" w:eastAsia="宋体" w:cs="Times New Roman"/>
          <w:color w:val="000000"/>
          <w:szCs w:val="22"/>
          <w:highlight w:val="none"/>
        </w:rPr>
      </w:pPr>
      <w:r>
        <w:rPr>
          <w:rFonts w:hint="eastAsia" w:ascii="Times New Roman" w:hAnsi="Times New Roman" w:eastAsia="宋体" w:cs="Times New Roman"/>
          <w:color w:val="000000"/>
          <w:szCs w:val="22"/>
          <w:highlight w:val="none"/>
        </w:rPr>
        <w:t>（</w:t>
      </w:r>
      <w:r>
        <w:rPr>
          <w:rFonts w:hint="eastAsia" w:ascii="Times New Roman" w:hAnsi="Times New Roman" w:cs="Times New Roman"/>
          <w:color w:val="000000"/>
          <w:szCs w:val="22"/>
          <w:highlight w:val="none"/>
          <w:lang w:val="en-US" w:eastAsia="zh-CN"/>
        </w:rPr>
        <w:t>5</w:t>
      </w:r>
      <w:r>
        <w:rPr>
          <w:rFonts w:hint="eastAsia" w:ascii="Times New Roman" w:hAnsi="Times New Roman" w:eastAsia="宋体" w:cs="Times New Roman"/>
          <w:color w:val="000000"/>
          <w:szCs w:val="22"/>
          <w:highlight w:val="none"/>
        </w:rPr>
        <w:t>）除投标人须知前附表另有规定外，公布投标人名称、标段名称、投标报价；</w:t>
      </w:r>
    </w:p>
    <w:p>
      <w:pPr>
        <w:spacing w:line="400" w:lineRule="exact"/>
        <w:ind w:firstLine="420" w:firstLineChars="200"/>
        <w:rPr>
          <w:rFonts w:ascii="Times New Roman" w:hAnsi="Times New Roman" w:eastAsia="宋体" w:cs="Times New Roman"/>
          <w:color w:val="000000"/>
          <w:szCs w:val="22"/>
          <w:highlight w:val="none"/>
        </w:rPr>
      </w:pPr>
      <w:r>
        <w:rPr>
          <w:rFonts w:hint="eastAsia" w:ascii="Times New Roman" w:hAnsi="Times New Roman" w:eastAsia="宋体" w:cs="Times New Roman"/>
          <w:color w:val="000000"/>
          <w:szCs w:val="22"/>
          <w:highlight w:val="none"/>
        </w:rPr>
        <w:t>（</w:t>
      </w:r>
      <w:r>
        <w:rPr>
          <w:rFonts w:hint="eastAsia" w:ascii="Times New Roman" w:hAnsi="Times New Roman" w:cs="Times New Roman"/>
          <w:color w:val="000000"/>
          <w:szCs w:val="22"/>
          <w:highlight w:val="none"/>
          <w:lang w:val="en-US" w:eastAsia="zh-CN"/>
        </w:rPr>
        <w:t>6</w:t>
      </w:r>
      <w:r>
        <w:rPr>
          <w:rFonts w:hint="eastAsia" w:ascii="Times New Roman" w:hAnsi="Times New Roman" w:eastAsia="宋体" w:cs="Times New Roman"/>
          <w:color w:val="000000"/>
          <w:szCs w:val="22"/>
          <w:highlight w:val="none"/>
        </w:rPr>
        <w:t>）开标结束。</w:t>
      </w:r>
    </w:p>
    <w:p>
      <w:pPr>
        <w:keepNext/>
        <w:keepLines/>
        <w:spacing w:line="360" w:lineRule="auto"/>
        <w:outlineLvl w:val="2"/>
        <w:rPr>
          <w:rFonts w:ascii="黑体" w:hAnsi="黑体" w:eastAsia="黑体" w:cs="黑体"/>
          <w:sz w:val="28"/>
          <w:szCs w:val="28"/>
          <w:highlight w:val="none"/>
        </w:rPr>
      </w:pPr>
      <w:bookmarkStart w:id="288" w:name="_Toc12459"/>
      <w:bookmarkStart w:id="289" w:name="_Toc5013"/>
      <w:bookmarkStart w:id="290" w:name="_Toc13832"/>
      <w:bookmarkStart w:id="291" w:name="_Toc27708"/>
      <w:bookmarkStart w:id="292" w:name="_Toc7182"/>
      <w:bookmarkStart w:id="293" w:name="_Toc11759"/>
      <w:bookmarkStart w:id="294" w:name="_Toc27457"/>
      <w:bookmarkStart w:id="295" w:name="_Toc1097930048"/>
      <w:bookmarkStart w:id="296" w:name="_Toc524698291"/>
      <w:r>
        <w:rPr>
          <w:rFonts w:hint="eastAsia" w:ascii="黑体" w:hAnsi="黑体" w:eastAsia="黑体" w:cs="黑体"/>
          <w:sz w:val="28"/>
          <w:szCs w:val="28"/>
          <w:highlight w:val="none"/>
        </w:rPr>
        <w:t>5.3开标异议</w:t>
      </w:r>
      <w:bookmarkEnd w:id="288"/>
      <w:bookmarkEnd w:id="289"/>
      <w:bookmarkEnd w:id="290"/>
      <w:bookmarkEnd w:id="291"/>
      <w:bookmarkEnd w:id="292"/>
      <w:bookmarkEnd w:id="293"/>
      <w:bookmarkEnd w:id="294"/>
      <w:bookmarkEnd w:id="295"/>
      <w:bookmarkEnd w:id="296"/>
    </w:p>
    <w:p>
      <w:pPr>
        <w:spacing w:line="400" w:lineRule="exact"/>
        <w:ind w:firstLine="420" w:firstLineChars="200"/>
        <w:rPr>
          <w:rFonts w:ascii="Times New Roman" w:hAnsi="Times New Roman"/>
          <w:color w:val="000000"/>
          <w:highlight w:val="none"/>
        </w:rPr>
      </w:pPr>
      <w:r>
        <w:rPr>
          <w:rFonts w:hint="eastAsia" w:ascii="Times New Roman" w:hAnsi="Times New Roman" w:eastAsia="宋体" w:cs="Times New Roman"/>
          <w:color w:val="000000"/>
          <w:sz w:val="21"/>
          <w:szCs w:val="22"/>
          <w:highlight w:val="none"/>
        </w:rPr>
        <w:t>投标人对开标有异议的，应当在开标过程中提出；招标人当场对异议作出答复，并记入开标记录。异议与答复应通过电子交易系统进行。</w:t>
      </w:r>
    </w:p>
    <w:p>
      <w:pPr>
        <w:pStyle w:val="3"/>
        <w:rPr>
          <w:rFonts w:ascii="Times New Roman" w:hAnsi="Times New Roman"/>
          <w:color w:val="000000"/>
          <w:highlight w:val="none"/>
        </w:rPr>
      </w:pPr>
      <w:bookmarkStart w:id="297" w:name="_Toc80062898"/>
      <w:r>
        <w:rPr>
          <w:rFonts w:ascii="Times New Roman" w:hAnsi="Times New Roman"/>
          <w:color w:val="000000"/>
          <w:highlight w:val="none"/>
        </w:rPr>
        <w:t>6. 评标</w:t>
      </w:r>
      <w:bookmarkEnd w:id="297"/>
    </w:p>
    <w:p>
      <w:pPr>
        <w:pStyle w:val="4"/>
        <w:spacing w:line="240" w:lineRule="auto"/>
        <w:ind w:firstLine="137"/>
        <w:rPr>
          <w:rFonts w:ascii="Times New Roman" w:hAnsi="Times New Roman"/>
          <w:color w:val="000000"/>
          <w:highlight w:val="none"/>
        </w:rPr>
      </w:pPr>
      <w:bookmarkStart w:id="298" w:name="_Toc1042346673"/>
      <w:r>
        <w:rPr>
          <w:rFonts w:ascii="Times New Roman" w:hAnsi="Times New Roman"/>
          <w:color w:val="000000"/>
          <w:highlight w:val="none"/>
        </w:rPr>
        <w:t>6.1 评标委员会</w:t>
      </w:r>
      <w:bookmarkEnd w:id="298"/>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6.1.2 评标委员会成员有下列情形之一的，应当回避：</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（1）投标人或投标人主要负责人的近亲属；</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（2）项目主管部门或者行政监督部门的人员；</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（3）与投标人有经济利益关系，可能影响对投标公正评审的；</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（4）曾因在招标、评</w:t>
      </w:r>
      <w:bookmarkStart w:id="299" w:name="_Toc152042331"/>
      <w:bookmarkStart w:id="300" w:name="_Toc384308237"/>
      <w:bookmarkStart w:id="301" w:name="_Toc361508612"/>
      <w:bookmarkStart w:id="302" w:name="_Toc300834976"/>
      <w:bookmarkStart w:id="303" w:name="_Toc352691499"/>
      <w:bookmarkStart w:id="304" w:name="_Toc247513979"/>
      <w:bookmarkStart w:id="305" w:name="_Toc6230"/>
      <w:bookmarkStart w:id="306" w:name="_Toc144974523"/>
      <w:bookmarkStart w:id="307" w:name="_Toc247527580"/>
      <w:bookmarkStart w:id="308" w:name="_Toc152045555"/>
      <w:bookmarkStart w:id="309" w:name="_Toc369531543"/>
      <w:r>
        <w:rPr>
          <w:rFonts w:ascii="Times New Roman" w:hAnsi="Times New Roman"/>
          <w:color w:val="000000"/>
          <w:highlight w:val="none"/>
        </w:rPr>
        <w:t>标以及其他</w:t>
      </w:r>
      <w:bookmarkEnd w:id="299"/>
      <w:bookmarkEnd w:id="300"/>
      <w:bookmarkEnd w:id="301"/>
      <w:bookmarkEnd w:id="302"/>
      <w:bookmarkEnd w:id="303"/>
      <w:bookmarkEnd w:id="304"/>
      <w:bookmarkEnd w:id="305"/>
      <w:bookmarkEnd w:id="306"/>
      <w:bookmarkEnd w:id="307"/>
      <w:bookmarkEnd w:id="308"/>
      <w:bookmarkEnd w:id="309"/>
      <w:r>
        <w:rPr>
          <w:rFonts w:ascii="Times New Roman" w:hAnsi="Times New Roman"/>
          <w:color w:val="000000"/>
          <w:highlight w:val="none"/>
        </w:rPr>
        <w:t>与</w:t>
      </w:r>
      <w:bookmarkStart w:id="310" w:name="_Toc384308238"/>
      <w:bookmarkStart w:id="311" w:name="_Toc144974524"/>
      <w:bookmarkStart w:id="312" w:name="_Toc247513980"/>
      <w:bookmarkStart w:id="313" w:name="_Toc247527581"/>
      <w:bookmarkStart w:id="314" w:name="_Toc352691500"/>
      <w:bookmarkStart w:id="315" w:name="_Toc152045556"/>
      <w:bookmarkStart w:id="316" w:name="_Toc152042332"/>
      <w:bookmarkStart w:id="317" w:name="_Toc17703"/>
      <w:bookmarkStart w:id="318" w:name="_Toc369531544"/>
      <w:bookmarkStart w:id="319" w:name="_Toc361508613"/>
      <w:bookmarkStart w:id="320" w:name="_Toc300834977"/>
      <w:r>
        <w:rPr>
          <w:rFonts w:ascii="Times New Roman" w:hAnsi="Times New Roman"/>
          <w:color w:val="000000"/>
          <w:highlight w:val="none"/>
        </w:rPr>
        <w:t>招标投标有关活动中从事违法行</w:t>
      </w:r>
      <w:bookmarkEnd w:id="310"/>
      <w:bookmarkEnd w:id="311"/>
      <w:bookmarkEnd w:id="312"/>
      <w:bookmarkEnd w:id="313"/>
      <w:bookmarkEnd w:id="314"/>
      <w:bookmarkEnd w:id="315"/>
      <w:bookmarkEnd w:id="316"/>
      <w:bookmarkEnd w:id="317"/>
      <w:bookmarkEnd w:id="318"/>
      <w:bookmarkEnd w:id="319"/>
      <w:bookmarkEnd w:id="320"/>
      <w:r>
        <w:rPr>
          <w:rFonts w:ascii="Times New Roman" w:hAnsi="Times New Roman"/>
          <w:color w:val="000000"/>
          <w:highlight w:val="none"/>
        </w:rPr>
        <w:t>为而受过行政处罚或刑事处罚的；</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（5）与投标人有其他利害关系。</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6.1.3 评标过程中，评标委员会成员有回避事由、擅离职守或者因健康等原因不能继续评标的，招标人有权更换。被更换的评标委员会成员作出的评审结论无效，由更换后的评标委员会成员重新进行评审。</w:t>
      </w:r>
    </w:p>
    <w:p>
      <w:pPr>
        <w:pStyle w:val="4"/>
        <w:spacing w:line="240" w:lineRule="auto"/>
        <w:ind w:firstLine="137"/>
        <w:rPr>
          <w:rFonts w:ascii="Times New Roman" w:hAnsi="Times New Roman"/>
          <w:color w:val="000000"/>
          <w:highlight w:val="none"/>
        </w:rPr>
      </w:pPr>
      <w:bookmarkStart w:id="321" w:name="_Toc1191098660"/>
      <w:r>
        <w:rPr>
          <w:rFonts w:ascii="Times New Roman" w:hAnsi="Times New Roman"/>
          <w:color w:val="000000"/>
          <w:highlight w:val="none"/>
        </w:rPr>
        <w:t>6.2 评标原则</w:t>
      </w:r>
      <w:bookmarkEnd w:id="321"/>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评标活动遵循公平、公正、科学和择优的原</w:t>
      </w:r>
      <w:bookmarkStart w:id="322" w:name="_Toc18949"/>
      <w:bookmarkStart w:id="323" w:name="_Toc300834978"/>
      <w:bookmarkStart w:id="324" w:name="_Toc247513981"/>
      <w:bookmarkStart w:id="325" w:name="_Toc152042333"/>
      <w:bookmarkStart w:id="326" w:name="_Toc152045557"/>
      <w:bookmarkStart w:id="327" w:name="_Toc247527582"/>
      <w:bookmarkStart w:id="328" w:name="_Toc144974525"/>
      <w:bookmarkStart w:id="329" w:name="_Toc384308239"/>
      <w:bookmarkStart w:id="330" w:name="_Toc352691501"/>
      <w:bookmarkStart w:id="331" w:name="_Toc361508614"/>
      <w:bookmarkStart w:id="332" w:name="_Toc369531545"/>
      <w:r>
        <w:rPr>
          <w:rFonts w:ascii="Times New Roman" w:hAnsi="Times New Roman"/>
          <w:color w:val="000000"/>
          <w:highlight w:val="none"/>
        </w:rPr>
        <w:t>则。</w:t>
      </w:r>
    </w:p>
    <w:p>
      <w:pPr>
        <w:pStyle w:val="4"/>
        <w:spacing w:line="240" w:lineRule="auto"/>
        <w:ind w:firstLine="137"/>
        <w:rPr>
          <w:rFonts w:ascii="Times New Roman" w:hAnsi="Times New Roman"/>
          <w:color w:val="000000"/>
          <w:highlight w:val="none"/>
        </w:rPr>
      </w:pPr>
      <w:bookmarkStart w:id="333" w:name="_Toc916218350"/>
      <w:r>
        <w:rPr>
          <w:rFonts w:ascii="Times New Roman" w:hAnsi="Times New Roman"/>
          <w:color w:val="000000"/>
          <w:highlight w:val="none"/>
        </w:rPr>
        <w:t>6.3 评标</w:t>
      </w:r>
      <w:bookmarkEnd w:id="333"/>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6</w:t>
      </w:r>
      <w:bookmarkEnd w:id="322"/>
      <w:bookmarkEnd w:id="323"/>
      <w:bookmarkEnd w:id="324"/>
      <w:bookmarkEnd w:id="325"/>
      <w:bookmarkEnd w:id="326"/>
      <w:bookmarkEnd w:id="327"/>
      <w:bookmarkEnd w:id="328"/>
      <w:bookmarkEnd w:id="329"/>
      <w:bookmarkEnd w:id="330"/>
      <w:bookmarkEnd w:id="331"/>
      <w:bookmarkEnd w:id="332"/>
      <w:r>
        <w:rPr>
          <w:rFonts w:ascii="Times New Roman" w:hAnsi="Times New Roman"/>
          <w:color w:val="000000"/>
          <w:highlight w:val="none"/>
        </w:rPr>
        <w:t>.3.1 评标委员会按照第三章“评标办法”规定的方法、评审因素、标准和程序对投标文件进行评审。第三章“评标办法”没有规定的方法、评审因素和标准，不作为评标依据。</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6.3.2 评标完成后，评标委员会应当向招标人提交书面评标报告和中标候选人名单。评标委员会推荐中标</w:t>
      </w:r>
      <w:bookmarkStart w:id="334" w:name="_Toc247513982"/>
      <w:bookmarkStart w:id="335" w:name="_Toc369531546"/>
      <w:bookmarkStart w:id="336" w:name="_Toc12259"/>
      <w:bookmarkStart w:id="337" w:name="_Toc384308240"/>
      <w:bookmarkStart w:id="338" w:name="_Toc144974526"/>
      <w:bookmarkStart w:id="339" w:name="_Toc152042334"/>
      <w:bookmarkStart w:id="340" w:name="_Toc247527583"/>
      <w:bookmarkStart w:id="341" w:name="_Toc352691502"/>
      <w:bookmarkStart w:id="342" w:name="_Toc152045558"/>
      <w:bookmarkStart w:id="343" w:name="_Toc300834979"/>
      <w:bookmarkStart w:id="344" w:name="_Toc361508615"/>
      <w:r>
        <w:rPr>
          <w:rFonts w:ascii="Times New Roman" w:hAnsi="Times New Roman"/>
          <w:color w:val="000000"/>
          <w:highlight w:val="none"/>
        </w:rPr>
        <w:t>候选人的人数见投标人须知前附</w:t>
      </w:r>
      <w:bookmarkEnd w:id="334"/>
      <w:bookmarkEnd w:id="335"/>
      <w:bookmarkEnd w:id="336"/>
      <w:bookmarkEnd w:id="337"/>
      <w:bookmarkEnd w:id="338"/>
      <w:bookmarkEnd w:id="339"/>
      <w:bookmarkEnd w:id="340"/>
      <w:bookmarkEnd w:id="341"/>
      <w:bookmarkEnd w:id="342"/>
      <w:bookmarkEnd w:id="343"/>
      <w:bookmarkEnd w:id="344"/>
      <w:r>
        <w:rPr>
          <w:rFonts w:ascii="Times New Roman" w:hAnsi="Times New Roman"/>
          <w:color w:val="000000"/>
          <w:highlight w:val="none"/>
        </w:rPr>
        <w:t>表。</w:t>
      </w:r>
    </w:p>
    <w:p>
      <w:pPr>
        <w:pStyle w:val="3"/>
        <w:rPr>
          <w:rFonts w:ascii="Times New Roman" w:hAnsi="Times New Roman"/>
          <w:color w:val="000000"/>
          <w:highlight w:val="none"/>
        </w:rPr>
      </w:pPr>
      <w:bookmarkStart w:id="345" w:name="_Toc871139958"/>
      <w:r>
        <w:rPr>
          <w:rFonts w:ascii="Times New Roman" w:hAnsi="Times New Roman"/>
          <w:color w:val="000000"/>
          <w:highlight w:val="none"/>
        </w:rPr>
        <w:t>7. 合同授予</w:t>
      </w:r>
      <w:bookmarkEnd w:id="345"/>
    </w:p>
    <w:p>
      <w:pPr>
        <w:pStyle w:val="4"/>
        <w:spacing w:line="240" w:lineRule="auto"/>
        <w:ind w:firstLine="137"/>
        <w:rPr>
          <w:rFonts w:ascii="Times New Roman" w:hAnsi="Times New Roman"/>
          <w:color w:val="000000"/>
          <w:highlight w:val="none"/>
        </w:rPr>
      </w:pPr>
      <w:bookmarkStart w:id="346" w:name="_Toc1358102398"/>
      <w:r>
        <w:rPr>
          <w:rFonts w:ascii="Times New Roman" w:hAnsi="Times New Roman"/>
          <w:color w:val="000000"/>
          <w:highlight w:val="none"/>
        </w:rPr>
        <w:t>7.1 中标候选人公示</w:t>
      </w:r>
      <w:bookmarkEnd w:id="346"/>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招标人在收到评标报告之日起3日内，按照投标人须知前附表规定的公示媒介和期限公示中标候选人，公示期不得少于3</w:t>
      </w:r>
      <w:r>
        <w:rPr>
          <w:rFonts w:hint="eastAsia" w:ascii="Times New Roman" w:hAnsi="Times New Roman"/>
          <w:color w:val="000000"/>
          <w:highlight w:val="none"/>
        </w:rPr>
        <w:t>日</w:t>
      </w:r>
      <w:r>
        <w:rPr>
          <w:rFonts w:ascii="Times New Roman" w:hAnsi="Times New Roman"/>
          <w:color w:val="000000"/>
          <w:highlight w:val="none"/>
        </w:rPr>
        <w:t>。</w:t>
      </w:r>
    </w:p>
    <w:p>
      <w:pPr>
        <w:pStyle w:val="4"/>
        <w:spacing w:line="240" w:lineRule="auto"/>
        <w:ind w:firstLine="137"/>
        <w:rPr>
          <w:rFonts w:ascii="Times New Roman" w:hAnsi="Times New Roman"/>
          <w:color w:val="000000"/>
          <w:highlight w:val="none"/>
        </w:rPr>
      </w:pPr>
      <w:bookmarkStart w:id="347" w:name="_Toc95926135"/>
      <w:r>
        <w:rPr>
          <w:rFonts w:ascii="Times New Roman" w:hAnsi="Times New Roman"/>
          <w:color w:val="000000"/>
          <w:highlight w:val="none"/>
        </w:rPr>
        <w:t>7.2 评标结果异议</w:t>
      </w:r>
      <w:bookmarkEnd w:id="347"/>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投标人或者其他利</w:t>
      </w:r>
      <w:bookmarkStart w:id="348" w:name="_Toc152045561"/>
      <w:bookmarkStart w:id="349" w:name="_Toc247527586"/>
      <w:bookmarkStart w:id="350" w:name="_Toc30095"/>
      <w:bookmarkStart w:id="351" w:name="_Toc352691505"/>
      <w:bookmarkStart w:id="352" w:name="_Toc369531549"/>
      <w:bookmarkStart w:id="353" w:name="_Toc384308243"/>
      <w:bookmarkStart w:id="354" w:name="_Toc144974529"/>
      <w:bookmarkStart w:id="355" w:name="_Toc247513985"/>
      <w:bookmarkStart w:id="356" w:name="_Toc152042337"/>
      <w:bookmarkStart w:id="357" w:name="_Toc361508618"/>
      <w:bookmarkStart w:id="358" w:name="_Toc300834982"/>
      <w:r>
        <w:rPr>
          <w:rFonts w:ascii="Times New Roman" w:hAnsi="Times New Roman"/>
          <w:color w:val="000000"/>
          <w:highlight w:val="none"/>
        </w:rPr>
        <w:t>害关系人对评标结</w:t>
      </w:r>
      <w:bookmarkEnd w:id="348"/>
      <w:bookmarkEnd w:id="349"/>
      <w:bookmarkEnd w:id="350"/>
      <w:bookmarkEnd w:id="351"/>
      <w:bookmarkEnd w:id="352"/>
      <w:bookmarkEnd w:id="353"/>
      <w:bookmarkEnd w:id="354"/>
      <w:bookmarkEnd w:id="355"/>
      <w:bookmarkEnd w:id="356"/>
      <w:bookmarkEnd w:id="357"/>
      <w:bookmarkEnd w:id="358"/>
      <w:r>
        <w:rPr>
          <w:rFonts w:ascii="Times New Roman" w:hAnsi="Times New Roman"/>
          <w:color w:val="000000"/>
          <w:highlight w:val="none"/>
        </w:rPr>
        <w:t>果有异议的，应当在中标候选人公示期间提出。招标人将在收到异议之日起3日内作出答复；作出答复前，将暂停招标投标活动。</w:t>
      </w:r>
    </w:p>
    <w:p>
      <w:pPr>
        <w:pStyle w:val="4"/>
        <w:spacing w:line="240" w:lineRule="auto"/>
        <w:ind w:firstLine="137"/>
        <w:rPr>
          <w:rFonts w:ascii="Times New Roman" w:hAnsi="Times New Roman"/>
          <w:color w:val="000000"/>
          <w:highlight w:val="none"/>
        </w:rPr>
      </w:pPr>
      <w:bookmarkStart w:id="359" w:name="_Toc1581249385"/>
      <w:r>
        <w:rPr>
          <w:rFonts w:ascii="Times New Roman" w:hAnsi="Times New Roman"/>
          <w:color w:val="000000"/>
          <w:highlight w:val="none"/>
        </w:rPr>
        <w:t>7.3 中标候选人履约能力审查</w:t>
      </w:r>
      <w:bookmarkEnd w:id="359"/>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中标候选人的经营、财务状况发生较大变化或存在违法行为，招标人认为可能影响其履约能力的，将在发出中标通知书前提请原评标委员会按照招标文件规定的标准和方法进行审查确认。</w:t>
      </w:r>
    </w:p>
    <w:p>
      <w:pPr>
        <w:pStyle w:val="4"/>
        <w:spacing w:line="240" w:lineRule="auto"/>
        <w:ind w:firstLine="137"/>
        <w:rPr>
          <w:rFonts w:ascii="Times New Roman" w:hAnsi="Times New Roman"/>
          <w:color w:val="000000"/>
          <w:highlight w:val="none"/>
        </w:rPr>
      </w:pPr>
      <w:bookmarkStart w:id="360" w:name="_Toc807241394"/>
      <w:r>
        <w:rPr>
          <w:rFonts w:ascii="Times New Roman" w:hAnsi="Times New Roman"/>
          <w:color w:val="000000"/>
          <w:highlight w:val="none"/>
        </w:rPr>
        <w:t>7.4 定标</w:t>
      </w:r>
      <w:bookmarkEnd w:id="360"/>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按照投标人须知前附表的规定，招标人或招标人授权的评标委员会依法确定中标人。</w:t>
      </w:r>
    </w:p>
    <w:p>
      <w:pPr>
        <w:pStyle w:val="4"/>
        <w:spacing w:line="240" w:lineRule="auto"/>
        <w:ind w:firstLine="137"/>
        <w:rPr>
          <w:rFonts w:ascii="Times New Roman" w:hAnsi="Times New Roman"/>
          <w:color w:val="000000"/>
          <w:highlight w:val="none"/>
        </w:rPr>
      </w:pPr>
      <w:bookmarkStart w:id="361" w:name="_Toc1956866062"/>
      <w:r>
        <w:rPr>
          <w:rFonts w:ascii="Times New Roman" w:hAnsi="Times New Roman"/>
          <w:color w:val="000000"/>
          <w:highlight w:val="none"/>
        </w:rPr>
        <w:t>7.5 中标通知</w:t>
      </w:r>
      <w:bookmarkEnd w:id="361"/>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在本章第3.3款规定的投标有效期内，招标人以书面形式向中标人发出中标</w:t>
      </w:r>
      <w:bookmarkStart w:id="362" w:name="_Toc5668"/>
      <w:bookmarkStart w:id="363" w:name="_Toc369531550"/>
      <w:bookmarkStart w:id="364" w:name="_Toc384308244"/>
      <w:bookmarkStart w:id="365" w:name="_Toc361508619"/>
      <w:bookmarkStart w:id="366" w:name="_Toc352691506"/>
      <w:bookmarkStart w:id="367" w:name="_Toc300834983"/>
      <w:r>
        <w:rPr>
          <w:rFonts w:ascii="Times New Roman" w:hAnsi="Times New Roman"/>
          <w:color w:val="000000"/>
          <w:highlight w:val="none"/>
        </w:rPr>
        <w:t>通知书，同时将中</w:t>
      </w:r>
      <w:bookmarkEnd w:id="362"/>
      <w:bookmarkEnd w:id="363"/>
      <w:bookmarkEnd w:id="364"/>
      <w:bookmarkEnd w:id="365"/>
      <w:bookmarkEnd w:id="366"/>
      <w:bookmarkEnd w:id="367"/>
      <w:r>
        <w:rPr>
          <w:rFonts w:ascii="Times New Roman" w:hAnsi="Times New Roman"/>
          <w:color w:val="000000"/>
          <w:highlight w:val="none"/>
        </w:rPr>
        <w:t>标结果通知未中标的投标人。</w:t>
      </w:r>
    </w:p>
    <w:p>
      <w:pPr>
        <w:pStyle w:val="4"/>
        <w:spacing w:line="240" w:lineRule="auto"/>
        <w:ind w:firstLine="137"/>
        <w:rPr>
          <w:rFonts w:ascii="Times New Roman" w:hAnsi="Times New Roman"/>
          <w:color w:val="000000"/>
          <w:highlight w:val="none"/>
        </w:rPr>
      </w:pPr>
      <w:bookmarkStart w:id="368" w:name="_Toc1505737138"/>
      <w:r>
        <w:rPr>
          <w:rFonts w:ascii="Times New Roman" w:hAnsi="Times New Roman"/>
          <w:color w:val="000000"/>
          <w:highlight w:val="none"/>
        </w:rPr>
        <w:t>7.6 履约保证金</w:t>
      </w:r>
      <w:bookmarkEnd w:id="368"/>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 xml:space="preserve">7.6.1 </w:t>
      </w:r>
      <w:r>
        <w:rPr>
          <w:rFonts w:hint="eastAsia" w:ascii="Times New Roman" w:hAnsi="Times New Roman"/>
          <w:color w:val="000000"/>
          <w:highlight w:val="none"/>
        </w:rPr>
        <w:t>在签订合同前，</w:t>
      </w:r>
      <w:r>
        <w:rPr>
          <w:rFonts w:ascii="Times New Roman" w:hAnsi="Times New Roman"/>
          <w:color w:val="000000"/>
          <w:highlight w:val="none"/>
        </w:rPr>
        <w:t>中标人应按投标人须知前附表规定的形式、金额和招标文件第四章“合同条款及格式”规定的或者事先经过招标人书面认可的履约保证金格式向招标人提交履约保证金。除投标人须知前附表另有规定外，履约保证金为中标合同金额的10%。联合体中标的，其履约保证金以联合体各方或者联合体中牵头人的名义提交。</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7.6.2 中标人不能按本章第7.6.1项要求提交履约保证金的，视为放弃中标，其投标保证金不予退还，给招标人造成的损失超过投标保证金数额的，中标人还应当对超过部分予以赔偿。</w:t>
      </w:r>
    </w:p>
    <w:p>
      <w:pPr>
        <w:pStyle w:val="4"/>
        <w:spacing w:line="240" w:lineRule="auto"/>
        <w:ind w:firstLine="137"/>
        <w:rPr>
          <w:rFonts w:ascii="Times New Roman" w:hAnsi="Times New Roman"/>
          <w:color w:val="000000"/>
          <w:highlight w:val="none"/>
        </w:rPr>
      </w:pPr>
      <w:bookmarkStart w:id="369" w:name="_Toc816704136"/>
      <w:r>
        <w:rPr>
          <w:rFonts w:ascii="Times New Roman" w:hAnsi="Times New Roman"/>
          <w:color w:val="000000"/>
          <w:highlight w:val="none"/>
        </w:rPr>
        <w:t>7.7 签订合同</w:t>
      </w:r>
      <w:bookmarkEnd w:id="369"/>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7.7.1 招标人和中标人应当在中标通知书发出之日起</w:t>
      </w:r>
      <w:bookmarkStart w:id="370" w:name="_Toc352691509"/>
      <w:bookmarkStart w:id="371" w:name="_Toc144974532"/>
      <w:bookmarkStart w:id="372" w:name="_Toc247513988"/>
      <w:bookmarkStart w:id="373" w:name="_Toc152042340"/>
      <w:bookmarkStart w:id="374" w:name="_Toc152045564"/>
      <w:bookmarkStart w:id="375" w:name="_Toc4656"/>
      <w:bookmarkStart w:id="376" w:name="_Toc384308247"/>
      <w:bookmarkStart w:id="377" w:name="_Toc300834986"/>
      <w:bookmarkStart w:id="378" w:name="_Toc247527589"/>
      <w:bookmarkStart w:id="379" w:name="_Toc369531553"/>
      <w:bookmarkStart w:id="380" w:name="_Toc361508622"/>
      <w:r>
        <w:rPr>
          <w:rFonts w:ascii="Times New Roman" w:hAnsi="Times New Roman"/>
          <w:color w:val="000000"/>
          <w:highlight w:val="none"/>
        </w:rPr>
        <w:t>30日内，根据招</w:t>
      </w:r>
      <w:bookmarkEnd w:id="370"/>
      <w:bookmarkEnd w:id="371"/>
      <w:bookmarkEnd w:id="372"/>
      <w:bookmarkEnd w:id="373"/>
      <w:bookmarkEnd w:id="374"/>
      <w:bookmarkEnd w:id="375"/>
      <w:bookmarkEnd w:id="376"/>
      <w:bookmarkEnd w:id="377"/>
      <w:bookmarkEnd w:id="378"/>
      <w:bookmarkEnd w:id="379"/>
      <w:bookmarkEnd w:id="380"/>
      <w:r>
        <w:rPr>
          <w:rFonts w:ascii="Times New Roman" w:hAnsi="Times New Roman"/>
          <w:color w:val="000000"/>
          <w:highlight w:val="none"/>
        </w:rPr>
        <w:t>标文件和中标人的投标文件订立书面合同。中标人</w:t>
      </w:r>
      <w:r>
        <w:rPr>
          <w:rFonts w:hint="eastAsia"/>
          <w:highlight w:val="none"/>
        </w:rPr>
        <w:t>无正当理由拒签合同，在签订合同时向招标人提出附加条件，或者不按照招标文件要求提交履约保证金的</w:t>
      </w:r>
      <w:r>
        <w:rPr>
          <w:rFonts w:ascii="Times New Roman" w:hAnsi="Times New Roman"/>
          <w:color w:val="000000"/>
          <w:highlight w:val="none"/>
        </w:rPr>
        <w:t>，招标人取消其中标资格，其投标保证金不予退还；给招标人造成的损失超过投标保证金数额的，中标人还应当对超过部分予以赔偿。</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7.7.2 发出中标通知书后，招标人无正当理由拒签合同，或者</w:t>
      </w:r>
      <w:r>
        <w:rPr>
          <w:rFonts w:hint="eastAsia"/>
          <w:highlight w:val="none"/>
        </w:rPr>
        <w:t>在签订合同时向中标人</w:t>
      </w:r>
      <w:r>
        <w:rPr>
          <w:rFonts w:ascii="Times New Roman" w:hAnsi="Times New Roman"/>
          <w:color w:val="000000"/>
          <w:highlight w:val="none"/>
        </w:rPr>
        <w:t>提出附加条件的，招标人向中标人退还投标保证金；给中标人造成损失的，还应当赔偿损失。</w:t>
      </w:r>
    </w:p>
    <w:p>
      <w:pPr>
        <w:spacing w:line="400" w:lineRule="exact"/>
        <w:ind w:firstLine="420" w:firstLineChars="200"/>
        <w:rPr>
          <w:rFonts w:ascii="Times New Roman" w:hAnsi="Times New Roman"/>
          <w:color w:val="000000"/>
          <w:szCs w:val="21"/>
          <w:highlight w:val="none"/>
        </w:rPr>
      </w:pPr>
      <w:r>
        <w:rPr>
          <w:rFonts w:ascii="Times New Roman" w:hAnsi="Times New Roman"/>
          <w:color w:val="000000"/>
          <w:highlight w:val="none"/>
        </w:rPr>
        <w:t xml:space="preserve">7.7.3 </w:t>
      </w:r>
      <w:r>
        <w:rPr>
          <w:rFonts w:ascii="Times New Roman" w:hAnsi="Times New Roman"/>
          <w:color w:val="000000"/>
          <w:szCs w:val="21"/>
          <w:highlight w:val="none"/>
        </w:rPr>
        <w:t>联合体中标的，联合体各方应当共同与招标人签订合同，就中标项目向招标人承担连带责任。</w:t>
      </w:r>
    </w:p>
    <w:p>
      <w:pPr>
        <w:keepNext/>
        <w:keepLines/>
        <w:adjustRightInd w:val="0"/>
        <w:snapToGrid w:val="0"/>
        <w:spacing w:line="360" w:lineRule="auto"/>
        <w:jc w:val="left"/>
        <w:outlineLvl w:val="1"/>
        <w:rPr>
          <w:rFonts w:ascii="黑体" w:hAnsi="黑体" w:eastAsia="黑体" w:cs="黑体"/>
          <w:kern w:val="0"/>
          <w:sz w:val="32"/>
          <w:szCs w:val="32"/>
          <w:highlight w:val="none"/>
        </w:rPr>
      </w:pPr>
      <w:bookmarkStart w:id="381" w:name="_Toc28782"/>
      <w:bookmarkStart w:id="382" w:name="_Toc29970"/>
      <w:bookmarkStart w:id="383" w:name="_Toc19524"/>
      <w:bookmarkStart w:id="384" w:name="_Toc20548"/>
      <w:bookmarkStart w:id="385" w:name="_Toc524698305"/>
      <w:bookmarkStart w:id="386" w:name="_Toc256145666"/>
      <w:bookmarkStart w:id="387" w:name="_Toc958667665"/>
      <w:bookmarkStart w:id="388" w:name="_Toc12822"/>
      <w:bookmarkStart w:id="389" w:name="_Toc1263675150"/>
      <w:bookmarkStart w:id="390" w:name="_Toc26459"/>
      <w:bookmarkStart w:id="391" w:name="_Toc9643"/>
      <w:bookmarkStart w:id="392" w:name="_Toc30507"/>
      <w:bookmarkStart w:id="393" w:name="_Toc477252723"/>
      <w:bookmarkStart w:id="394" w:name="_Toc24755"/>
      <w:bookmarkStart w:id="395" w:name="_Toc19253"/>
      <w:bookmarkStart w:id="396" w:name="_Toc261618191"/>
      <w:bookmarkStart w:id="397" w:name="_Toc184635078"/>
      <w:r>
        <w:rPr>
          <w:rFonts w:hint="eastAsia" w:ascii="黑体" w:hAnsi="黑体" w:eastAsia="黑体" w:cs="黑体"/>
          <w:kern w:val="0"/>
          <w:sz w:val="32"/>
          <w:szCs w:val="32"/>
          <w:highlight w:val="none"/>
        </w:rPr>
        <w:t>8．重新招标和不再招标</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keepNext/>
        <w:keepLines/>
        <w:spacing w:line="360" w:lineRule="auto"/>
        <w:outlineLvl w:val="2"/>
        <w:rPr>
          <w:rFonts w:ascii="黑体" w:hAnsi="黑体" w:eastAsia="黑体" w:cs="黑体"/>
          <w:sz w:val="28"/>
          <w:szCs w:val="28"/>
          <w:highlight w:val="none"/>
        </w:rPr>
      </w:pPr>
      <w:bookmarkStart w:id="398" w:name="_Toc14719"/>
      <w:bookmarkStart w:id="399" w:name="_Toc9124"/>
      <w:bookmarkStart w:id="400" w:name="_Toc11016"/>
      <w:bookmarkStart w:id="401" w:name="_Toc524698306"/>
      <w:bookmarkStart w:id="402" w:name="_Toc32700"/>
      <w:bookmarkStart w:id="403" w:name="_Toc28267"/>
      <w:bookmarkStart w:id="404" w:name="_Toc5408"/>
      <w:bookmarkStart w:id="405" w:name="_Toc324399724"/>
      <w:bookmarkStart w:id="406" w:name="_Toc11682"/>
      <w:r>
        <w:rPr>
          <w:rFonts w:hint="eastAsia" w:ascii="黑体" w:hAnsi="黑体" w:eastAsia="黑体" w:cs="黑体"/>
          <w:sz w:val="28"/>
          <w:szCs w:val="28"/>
          <w:highlight w:val="none"/>
        </w:rPr>
        <w:t>8.1 重新招标</w:t>
      </w:r>
      <w:bookmarkEnd w:id="398"/>
      <w:bookmarkEnd w:id="399"/>
      <w:bookmarkEnd w:id="400"/>
      <w:bookmarkEnd w:id="401"/>
      <w:bookmarkEnd w:id="402"/>
      <w:bookmarkEnd w:id="403"/>
      <w:bookmarkEnd w:id="404"/>
      <w:bookmarkEnd w:id="405"/>
      <w:bookmarkEnd w:id="406"/>
    </w:p>
    <w:p>
      <w:pPr>
        <w:spacing w:line="400" w:lineRule="exact"/>
        <w:ind w:firstLine="420" w:firstLineChars="200"/>
        <w:rPr>
          <w:rFonts w:ascii="Times New Roman" w:hAnsi="Times New Roman" w:eastAsia="宋体" w:cs="Times New Roman"/>
          <w:color w:val="000000"/>
          <w:szCs w:val="22"/>
          <w:highlight w:val="none"/>
        </w:rPr>
      </w:pPr>
      <w:r>
        <w:rPr>
          <w:rFonts w:hint="eastAsia" w:ascii="Times New Roman" w:hAnsi="Times New Roman" w:eastAsia="宋体" w:cs="Times New Roman"/>
          <w:color w:val="000000"/>
          <w:szCs w:val="22"/>
          <w:highlight w:val="none"/>
        </w:rPr>
        <w:t>有下列情形之一的，招标人将重新招标：</w:t>
      </w:r>
    </w:p>
    <w:p>
      <w:pPr>
        <w:spacing w:line="400" w:lineRule="exact"/>
        <w:ind w:firstLine="420" w:firstLineChars="200"/>
        <w:rPr>
          <w:rFonts w:ascii="Times New Roman" w:hAnsi="Times New Roman" w:eastAsia="宋体" w:cs="Times New Roman"/>
          <w:color w:val="000000"/>
          <w:szCs w:val="22"/>
          <w:highlight w:val="none"/>
        </w:rPr>
      </w:pPr>
      <w:r>
        <w:rPr>
          <w:rFonts w:ascii="Times New Roman" w:hAnsi="Times New Roman" w:eastAsia="宋体" w:cs="Times New Roman"/>
          <w:color w:val="000000"/>
          <w:szCs w:val="22"/>
          <w:highlight w:val="none"/>
        </w:rPr>
        <w:t>(l</w:t>
      </w:r>
      <w:r>
        <w:rPr>
          <w:rFonts w:hint="eastAsia" w:ascii="Times New Roman" w:hAnsi="Times New Roman" w:eastAsia="宋体" w:cs="Times New Roman"/>
          <w:color w:val="000000"/>
          <w:szCs w:val="22"/>
          <w:highlight w:val="none"/>
        </w:rPr>
        <w:t>）投标截止时间止，投标人少于</w:t>
      </w:r>
      <w:r>
        <w:rPr>
          <w:rFonts w:ascii="Times New Roman" w:hAnsi="Times New Roman" w:eastAsia="宋体" w:cs="Times New Roman"/>
          <w:color w:val="000000"/>
          <w:szCs w:val="22"/>
          <w:highlight w:val="none"/>
        </w:rPr>
        <w:t xml:space="preserve">3 </w:t>
      </w:r>
      <w:r>
        <w:rPr>
          <w:rFonts w:hint="eastAsia" w:ascii="Times New Roman" w:hAnsi="Times New Roman" w:eastAsia="宋体" w:cs="Times New Roman"/>
          <w:color w:val="000000"/>
          <w:szCs w:val="22"/>
          <w:highlight w:val="none"/>
        </w:rPr>
        <w:t>个的；</w:t>
      </w:r>
    </w:p>
    <w:p>
      <w:pPr>
        <w:spacing w:line="400" w:lineRule="exact"/>
        <w:ind w:firstLine="420" w:firstLineChars="200"/>
        <w:rPr>
          <w:rFonts w:ascii="Times New Roman" w:hAnsi="Times New Roman" w:eastAsia="宋体" w:cs="Times New Roman"/>
          <w:color w:val="000000"/>
          <w:szCs w:val="22"/>
          <w:highlight w:val="none"/>
        </w:rPr>
      </w:pPr>
      <w:r>
        <w:rPr>
          <w:rFonts w:ascii="Times New Roman" w:hAnsi="Times New Roman" w:eastAsia="宋体" w:cs="Times New Roman"/>
          <w:color w:val="000000"/>
          <w:szCs w:val="22"/>
          <w:highlight w:val="none"/>
        </w:rPr>
        <w:t>(2</w:t>
      </w:r>
      <w:r>
        <w:rPr>
          <w:rFonts w:hint="eastAsia" w:ascii="Times New Roman" w:hAnsi="Times New Roman" w:eastAsia="宋体" w:cs="Times New Roman"/>
          <w:color w:val="000000"/>
          <w:szCs w:val="22"/>
          <w:highlight w:val="none"/>
        </w:rPr>
        <w:t>）经评标委员会评审后否决所有投标的；</w:t>
      </w:r>
    </w:p>
    <w:p>
      <w:pPr>
        <w:spacing w:line="400" w:lineRule="exact"/>
        <w:ind w:firstLine="420" w:firstLineChars="200"/>
        <w:rPr>
          <w:rFonts w:ascii="Times New Roman" w:hAnsi="Times New Roman" w:eastAsia="宋体" w:cs="Times New Roman"/>
          <w:color w:val="000000"/>
          <w:szCs w:val="22"/>
          <w:highlight w:val="none"/>
        </w:rPr>
      </w:pPr>
      <w:r>
        <w:rPr>
          <w:rFonts w:ascii="Times New Roman" w:hAnsi="Times New Roman" w:eastAsia="宋体" w:cs="Times New Roman"/>
          <w:color w:val="000000"/>
          <w:szCs w:val="22"/>
          <w:highlight w:val="none"/>
        </w:rPr>
        <w:t>(3</w:t>
      </w:r>
      <w:r>
        <w:rPr>
          <w:rFonts w:hint="eastAsia" w:ascii="Times New Roman" w:hAnsi="Times New Roman" w:eastAsia="宋体" w:cs="Times New Roman"/>
          <w:color w:val="000000"/>
          <w:szCs w:val="22"/>
          <w:highlight w:val="none"/>
        </w:rPr>
        <w:t>）评标委员会否决不合格投标或者界定为无效标后因有效投标不足</w:t>
      </w:r>
      <w:r>
        <w:rPr>
          <w:rFonts w:ascii="Times New Roman" w:hAnsi="Times New Roman" w:eastAsia="宋体" w:cs="Times New Roman"/>
          <w:color w:val="000000"/>
          <w:szCs w:val="22"/>
          <w:highlight w:val="none"/>
        </w:rPr>
        <w:t>3</w:t>
      </w:r>
      <w:r>
        <w:rPr>
          <w:rFonts w:hint="eastAsia" w:ascii="Times New Roman" w:hAnsi="Times New Roman" w:eastAsia="宋体" w:cs="Times New Roman"/>
          <w:color w:val="000000"/>
          <w:szCs w:val="22"/>
          <w:highlight w:val="none"/>
        </w:rPr>
        <w:t>个使得投标明显缺乏竞争，评标委员会决定否决全部投标的；</w:t>
      </w:r>
    </w:p>
    <w:p>
      <w:pPr>
        <w:spacing w:line="400" w:lineRule="exact"/>
        <w:ind w:firstLine="420" w:firstLineChars="200"/>
        <w:rPr>
          <w:rFonts w:ascii="Times New Roman" w:hAnsi="Times New Roman" w:eastAsia="宋体" w:cs="Times New Roman"/>
          <w:color w:val="000000"/>
          <w:szCs w:val="22"/>
          <w:highlight w:val="none"/>
        </w:rPr>
      </w:pPr>
      <w:r>
        <w:rPr>
          <w:rFonts w:ascii="Times New Roman" w:hAnsi="Times New Roman" w:eastAsia="宋体" w:cs="Times New Roman"/>
          <w:color w:val="000000"/>
          <w:szCs w:val="22"/>
          <w:highlight w:val="none"/>
        </w:rPr>
        <w:t>(4</w:t>
      </w:r>
      <w:r>
        <w:rPr>
          <w:rFonts w:hint="eastAsia" w:ascii="Times New Roman" w:hAnsi="Times New Roman" w:eastAsia="宋体" w:cs="Times New Roman"/>
          <w:color w:val="000000"/>
          <w:szCs w:val="22"/>
          <w:highlight w:val="none"/>
        </w:rPr>
        <w:t>）同意延长投标有效期的投标人少于</w:t>
      </w:r>
      <w:r>
        <w:rPr>
          <w:rFonts w:ascii="Times New Roman" w:hAnsi="Times New Roman" w:eastAsia="宋体" w:cs="Times New Roman"/>
          <w:color w:val="000000"/>
          <w:szCs w:val="22"/>
          <w:highlight w:val="none"/>
        </w:rPr>
        <w:t>3</w:t>
      </w:r>
      <w:r>
        <w:rPr>
          <w:rFonts w:hint="eastAsia" w:ascii="Times New Roman" w:hAnsi="Times New Roman" w:eastAsia="宋体" w:cs="Times New Roman"/>
          <w:color w:val="000000"/>
          <w:szCs w:val="22"/>
          <w:highlight w:val="none"/>
        </w:rPr>
        <w:t>个的；</w:t>
      </w:r>
    </w:p>
    <w:p>
      <w:pPr>
        <w:spacing w:line="400" w:lineRule="exact"/>
        <w:ind w:firstLine="420" w:firstLineChars="200"/>
        <w:rPr>
          <w:rFonts w:ascii="Times New Roman" w:hAnsi="Times New Roman" w:eastAsia="宋体" w:cs="Times New Roman"/>
          <w:color w:val="000000"/>
          <w:szCs w:val="22"/>
          <w:highlight w:val="none"/>
        </w:rPr>
      </w:pPr>
      <w:r>
        <w:rPr>
          <w:rFonts w:ascii="Times New Roman" w:hAnsi="Times New Roman" w:eastAsia="宋体" w:cs="Times New Roman"/>
          <w:color w:val="000000"/>
          <w:szCs w:val="22"/>
          <w:highlight w:val="none"/>
        </w:rPr>
        <w:t>(5</w:t>
      </w:r>
      <w:r>
        <w:rPr>
          <w:rFonts w:hint="eastAsia" w:ascii="Times New Roman" w:hAnsi="Times New Roman" w:eastAsia="宋体" w:cs="Times New Roman"/>
          <w:color w:val="000000"/>
          <w:szCs w:val="22"/>
          <w:highlight w:val="none"/>
        </w:rPr>
        <w:t>）中标候选人均未与招标人签订合同的。</w:t>
      </w:r>
    </w:p>
    <w:p>
      <w:pPr>
        <w:keepNext/>
        <w:keepLines/>
        <w:spacing w:line="360" w:lineRule="auto"/>
        <w:outlineLvl w:val="2"/>
        <w:rPr>
          <w:rFonts w:ascii="黑体" w:hAnsi="黑体" w:eastAsia="黑体" w:cs="黑体"/>
          <w:sz w:val="28"/>
          <w:szCs w:val="28"/>
          <w:highlight w:val="none"/>
        </w:rPr>
      </w:pPr>
      <w:bookmarkStart w:id="407" w:name="_Toc15049"/>
      <w:bookmarkStart w:id="408" w:name="_Toc9656"/>
      <w:bookmarkStart w:id="409" w:name="_Toc29981"/>
      <w:bookmarkStart w:id="410" w:name="_Toc20574"/>
      <w:bookmarkStart w:id="411" w:name="_Toc8286"/>
      <w:bookmarkStart w:id="412" w:name="_Toc818521618"/>
      <w:bookmarkStart w:id="413" w:name="_Toc19013"/>
      <w:bookmarkStart w:id="414" w:name="_Toc20386"/>
      <w:bookmarkStart w:id="415" w:name="_Toc524698307"/>
      <w:r>
        <w:rPr>
          <w:rFonts w:hint="eastAsia" w:ascii="黑体" w:hAnsi="黑体" w:eastAsia="黑体" w:cs="黑体"/>
          <w:sz w:val="28"/>
          <w:szCs w:val="28"/>
          <w:highlight w:val="none"/>
        </w:rPr>
        <w:t>8.2 不再招标</w:t>
      </w:r>
      <w:bookmarkEnd w:id="407"/>
      <w:bookmarkEnd w:id="408"/>
      <w:bookmarkEnd w:id="409"/>
      <w:bookmarkEnd w:id="410"/>
      <w:bookmarkEnd w:id="411"/>
      <w:bookmarkEnd w:id="412"/>
      <w:bookmarkEnd w:id="413"/>
      <w:bookmarkEnd w:id="414"/>
      <w:bookmarkEnd w:id="415"/>
    </w:p>
    <w:p>
      <w:pPr>
        <w:spacing w:line="400" w:lineRule="exact"/>
        <w:ind w:firstLine="420" w:firstLineChars="200"/>
        <w:rPr>
          <w:rFonts w:ascii="Times New Roman" w:hAnsi="Times New Roman" w:eastAsia="宋体" w:cs="Times New Roman"/>
          <w:color w:val="000000"/>
          <w:szCs w:val="22"/>
          <w:highlight w:val="none"/>
        </w:rPr>
      </w:pPr>
      <w:r>
        <w:rPr>
          <w:rFonts w:hint="eastAsia" w:ascii="Times New Roman" w:hAnsi="Times New Roman" w:eastAsia="宋体" w:cs="Times New Roman"/>
          <w:color w:val="000000"/>
          <w:szCs w:val="22"/>
          <w:highlight w:val="none"/>
        </w:rPr>
        <w:t>重新招标后，仍出现本章第</w:t>
      </w:r>
      <w:r>
        <w:rPr>
          <w:rFonts w:ascii="Times New Roman" w:hAnsi="Times New Roman" w:eastAsia="宋体" w:cs="Times New Roman"/>
          <w:color w:val="000000"/>
          <w:szCs w:val="22"/>
          <w:highlight w:val="none"/>
        </w:rPr>
        <w:t>8.1</w:t>
      </w:r>
      <w:r>
        <w:rPr>
          <w:rFonts w:hint="eastAsia" w:ascii="Times New Roman" w:hAnsi="Times New Roman" w:eastAsia="宋体" w:cs="Times New Roman"/>
          <w:color w:val="000000"/>
          <w:szCs w:val="22"/>
          <w:highlight w:val="none"/>
        </w:rPr>
        <w:t>款规定情形之一的，属于必须审批、核准的水利工程建设项目，经行政监督与管理部门审批、核准后可以不再进行招标。</w:t>
      </w:r>
    </w:p>
    <w:p>
      <w:pPr>
        <w:pStyle w:val="3"/>
        <w:rPr>
          <w:rFonts w:ascii="Times New Roman" w:hAnsi="Times New Roman"/>
          <w:color w:val="000000"/>
          <w:highlight w:val="none"/>
        </w:rPr>
      </w:pPr>
      <w:bookmarkStart w:id="416" w:name="_Toc384308252"/>
      <w:bookmarkStart w:id="417" w:name="_Toc24067"/>
      <w:bookmarkStart w:id="418" w:name="_Toc361508627"/>
      <w:bookmarkStart w:id="419" w:name="_Toc1376147944"/>
      <w:bookmarkStart w:id="420" w:name="_Toc247513992"/>
      <w:bookmarkStart w:id="421" w:name="_Toc144974536"/>
      <w:bookmarkStart w:id="422" w:name="_Toc247527593"/>
      <w:bookmarkStart w:id="423" w:name="_Toc300834991"/>
      <w:bookmarkStart w:id="424" w:name="_Toc152042344"/>
      <w:bookmarkStart w:id="425" w:name="_Toc152045568"/>
      <w:r>
        <w:rPr>
          <w:rFonts w:hint="eastAsia" w:ascii="Times New Roman" w:hAnsi="Times New Roman"/>
          <w:color w:val="000000"/>
          <w:highlight w:val="none"/>
        </w:rPr>
        <w:t>9</w:t>
      </w:r>
      <w:r>
        <w:rPr>
          <w:rFonts w:ascii="Times New Roman" w:hAnsi="Times New Roman"/>
          <w:color w:val="000000"/>
          <w:highlight w:val="none"/>
        </w:rPr>
        <w:t>.</w:t>
      </w:r>
      <w:bookmarkEnd w:id="416"/>
      <w:bookmarkEnd w:id="417"/>
      <w:bookmarkEnd w:id="418"/>
      <w:r>
        <w:rPr>
          <w:rFonts w:ascii="Times New Roman" w:hAnsi="Times New Roman"/>
          <w:color w:val="000000"/>
          <w:highlight w:val="none"/>
        </w:rPr>
        <w:t xml:space="preserve"> 纪律和监督</w:t>
      </w:r>
      <w:bookmarkEnd w:id="419"/>
    </w:p>
    <w:p>
      <w:pPr>
        <w:pStyle w:val="4"/>
        <w:spacing w:line="240" w:lineRule="auto"/>
        <w:ind w:firstLine="137"/>
        <w:rPr>
          <w:rFonts w:ascii="Times New Roman" w:hAnsi="Times New Roman"/>
          <w:color w:val="000000"/>
          <w:highlight w:val="none"/>
        </w:rPr>
      </w:pPr>
      <w:bookmarkStart w:id="426" w:name="_Toc1037332647"/>
      <w:r>
        <w:rPr>
          <w:rFonts w:hint="eastAsia" w:ascii="Times New Roman" w:hAnsi="Times New Roman"/>
          <w:color w:val="000000"/>
          <w:highlight w:val="none"/>
        </w:rPr>
        <w:t>9</w:t>
      </w:r>
      <w:r>
        <w:rPr>
          <w:rFonts w:ascii="Times New Roman" w:hAnsi="Times New Roman"/>
          <w:color w:val="000000"/>
          <w:highlight w:val="none"/>
        </w:rPr>
        <w:t>.1 对招标人的纪律要求</w:t>
      </w:r>
      <w:bookmarkEnd w:id="426"/>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招标人不得泄露招标投标活动中应当保密的情况和资料，不得与投标人串通损害国家利益、社会公共利益或者他人合法权益。</w:t>
      </w:r>
    </w:p>
    <w:p>
      <w:pPr>
        <w:pStyle w:val="4"/>
        <w:spacing w:line="240" w:lineRule="auto"/>
        <w:ind w:firstLine="137"/>
        <w:rPr>
          <w:rFonts w:ascii="Times New Roman" w:hAnsi="Times New Roman"/>
          <w:color w:val="000000"/>
          <w:highlight w:val="none"/>
        </w:rPr>
      </w:pPr>
      <w:bookmarkStart w:id="427" w:name="_Toc1010948666"/>
      <w:r>
        <w:rPr>
          <w:rFonts w:hint="eastAsia" w:ascii="Times New Roman" w:hAnsi="Times New Roman"/>
          <w:color w:val="000000"/>
          <w:highlight w:val="none"/>
        </w:rPr>
        <w:t>9</w:t>
      </w:r>
      <w:r>
        <w:rPr>
          <w:rFonts w:ascii="Times New Roman" w:hAnsi="Times New Roman"/>
          <w:color w:val="000000"/>
          <w:highlight w:val="none"/>
        </w:rPr>
        <w:t>.2 对投标人的纪律要求</w:t>
      </w:r>
      <w:bookmarkEnd w:id="427"/>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4"/>
        <w:spacing w:line="240" w:lineRule="auto"/>
        <w:ind w:firstLine="137"/>
        <w:rPr>
          <w:rFonts w:ascii="Times New Roman" w:hAnsi="Times New Roman"/>
          <w:color w:val="000000"/>
          <w:highlight w:val="none"/>
        </w:rPr>
      </w:pPr>
      <w:bookmarkStart w:id="428" w:name="_Toc1273649168"/>
      <w:r>
        <w:rPr>
          <w:rFonts w:hint="eastAsia" w:ascii="Times New Roman" w:hAnsi="Times New Roman"/>
          <w:color w:val="000000"/>
          <w:highlight w:val="none"/>
        </w:rPr>
        <w:t>9</w:t>
      </w:r>
      <w:r>
        <w:rPr>
          <w:rFonts w:ascii="Times New Roman" w:hAnsi="Times New Roman"/>
          <w:color w:val="000000"/>
          <w:highlight w:val="none"/>
        </w:rPr>
        <w:t>.3 对评标委员会成员的纪律要求</w:t>
      </w:r>
      <w:bookmarkEnd w:id="428"/>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评标委员会成员不得收受他人的财物或者其他好处，不得向他人透露对投标文件的评审</w:t>
      </w:r>
      <w:bookmarkStart w:id="429" w:name="_Toc361508628"/>
      <w:bookmarkStart w:id="430" w:name="_Toc13644"/>
      <w:bookmarkStart w:id="431" w:name="_Toc352691515"/>
      <w:bookmarkStart w:id="432" w:name="_Toc369531559"/>
      <w:bookmarkStart w:id="433" w:name="_Toc384308253"/>
      <w:r>
        <w:rPr>
          <w:rFonts w:ascii="Times New Roman" w:hAnsi="Times New Roman"/>
          <w:color w:val="000000"/>
          <w:highlight w:val="none"/>
        </w:rPr>
        <w:t>和比较、中标候选人</w:t>
      </w:r>
      <w:bookmarkEnd w:id="420"/>
      <w:bookmarkEnd w:id="421"/>
      <w:bookmarkEnd w:id="422"/>
      <w:bookmarkEnd w:id="423"/>
      <w:bookmarkEnd w:id="424"/>
      <w:bookmarkEnd w:id="425"/>
      <w:bookmarkEnd w:id="429"/>
      <w:bookmarkEnd w:id="430"/>
      <w:bookmarkEnd w:id="431"/>
      <w:bookmarkEnd w:id="432"/>
      <w:bookmarkEnd w:id="433"/>
      <w:r>
        <w:rPr>
          <w:rFonts w:ascii="Times New Roman" w:hAnsi="Times New Roman"/>
          <w:color w:val="000000"/>
          <w:highlight w:val="none"/>
        </w:rPr>
        <w:t>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pStyle w:val="4"/>
        <w:spacing w:line="240" w:lineRule="auto"/>
        <w:ind w:firstLine="137"/>
        <w:rPr>
          <w:rFonts w:ascii="Times New Roman" w:hAnsi="Times New Roman"/>
          <w:color w:val="000000"/>
          <w:highlight w:val="none"/>
        </w:rPr>
      </w:pPr>
      <w:bookmarkStart w:id="434" w:name="_Toc142822296"/>
      <w:r>
        <w:rPr>
          <w:rFonts w:hint="eastAsia" w:ascii="Times New Roman" w:hAnsi="Times New Roman"/>
          <w:color w:val="000000"/>
          <w:highlight w:val="none"/>
        </w:rPr>
        <w:t>9</w:t>
      </w:r>
      <w:r>
        <w:rPr>
          <w:rFonts w:ascii="Times New Roman" w:hAnsi="Times New Roman"/>
          <w:color w:val="000000"/>
          <w:highlight w:val="none"/>
        </w:rPr>
        <w:t>.4 对与评标活动有关的工作人员的纪律要求</w:t>
      </w:r>
      <w:bookmarkEnd w:id="434"/>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与评标活动有关的工作人员不得收受他人的财物或者其他好处，不得向他人透露对投标文件</w:t>
      </w:r>
      <w:bookmarkStart w:id="435" w:name="_Toc352691516"/>
      <w:bookmarkStart w:id="436" w:name="_Toc19429"/>
      <w:bookmarkStart w:id="437" w:name="_Toc361508629"/>
      <w:bookmarkStart w:id="438" w:name="_Toc247527594"/>
      <w:bookmarkStart w:id="439" w:name="_Toc152042345"/>
      <w:bookmarkStart w:id="440" w:name="_Toc152045569"/>
      <w:bookmarkStart w:id="441" w:name="_Toc144974537"/>
      <w:bookmarkStart w:id="442" w:name="_Toc300834992"/>
      <w:bookmarkStart w:id="443" w:name="_Toc384308254"/>
      <w:bookmarkStart w:id="444" w:name="_Toc247513993"/>
      <w:bookmarkStart w:id="445" w:name="_Toc369531560"/>
      <w:r>
        <w:rPr>
          <w:rFonts w:ascii="Times New Roman" w:hAnsi="Times New Roman"/>
          <w:color w:val="000000"/>
          <w:highlight w:val="none"/>
        </w:rPr>
        <w:t>的评审和比较、中标</w:t>
      </w:r>
      <w:bookmarkEnd w:id="435"/>
      <w:bookmarkEnd w:id="436"/>
      <w:bookmarkEnd w:id="437"/>
      <w:bookmarkEnd w:id="438"/>
      <w:bookmarkEnd w:id="439"/>
      <w:bookmarkEnd w:id="440"/>
      <w:bookmarkEnd w:id="441"/>
      <w:bookmarkEnd w:id="442"/>
      <w:bookmarkEnd w:id="443"/>
      <w:bookmarkEnd w:id="444"/>
      <w:bookmarkEnd w:id="445"/>
      <w:r>
        <w:rPr>
          <w:rFonts w:ascii="Times New Roman" w:hAnsi="Times New Roman"/>
          <w:color w:val="000000"/>
          <w:highlight w:val="none"/>
        </w:rPr>
        <w:t>候选人的推荐情况以及评标有关的其他情况。在评标活动中，与评标活动有关的工作人员不得擅离职守，影响评标程序正常进行。</w:t>
      </w:r>
    </w:p>
    <w:p>
      <w:pPr>
        <w:pStyle w:val="4"/>
        <w:spacing w:line="240" w:lineRule="auto"/>
        <w:ind w:firstLine="137"/>
        <w:rPr>
          <w:rFonts w:ascii="Times New Roman" w:hAnsi="Times New Roman"/>
          <w:color w:val="000000"/>
          <w:highlight w:val="none"/>
        </w:rPr>
      </w:pPr>
      <w:bookmarkStart w:id="446" w:name="_Toc1539449902"/>
      <w:r>
        <w:rPr>
          <w:rFonts w:hint="eastAsia" w:ascii="Times New Roman" w:hAnsi="Times New Roman"/>
          <w:color w:val="000000"/>
          <w:highlight w:val="none"/>
        </w:rPr>
        <w:t>9</w:t>
      </w:r>
      <w:r>
        <w:rPr>
          <w:rFonts w:ascii="Times New Roman" w:hAnsi="Times New Roman"/>
          <w:color w:val="000000"/>
          <w:highlight w:val="none"/>
        </w:rPr>
        <w:t>.5 投诉</w:t>
      </w:r>
      <w:bookmarkEnd w:id="446"/>
    </w:p>
    <w:p>
      <w:pPr>
        <w:spacing w:line="400" w:lineRule="exact"/>
        <w:ind w:firstLine="420" w:firstLineChars="200"/>
        <w:rPr>
          <w:rFonts w:ascii="Times New Roman" w:hAnsi="Times New Roman"/>
          <w:color w:val="000000"/>
          <w:highlight w:val="none"/>
        </w:rPr>
      </w:pPr>
      <w:r>
        <w:rPr>
          <w:rFonts w:hint="eastAsia" w:ascii="Times New Roman" w:hAnsi="Times New Roman"/>
          <w:color w:val="000000"/>
          <w:highlight w:val="none"/>
        </w:rPr>
        <w:t>9</w:t>
      </w:r>
      <w:r>
        <w:rPr>
          <w:rFonts w:ascii="Times New Roman" w:hAnsi="Times New Roman"/>
          <w:color w:val="000000"/>
          <w:highlight w:val="none"/>
        </w:rPr>
        <w:t>.5.1 投标人或者其他利害关系人认为招标投标活动不符合法律、行政法规规定的，可以自知道或者应当知道之日起10日内向有关行政监督部门投诉。投诉应当有明确的请求和必要的证明材料。</w:t>
      </w:r>
    </w:p>
    <w:p>
      <w:pPr>
        <w:spacing w:line="400" w:lineRule="exact"/>
        <w:ind w:firstLine="420" w:firstLineChars="200"/>
        <w:rPr>
          <w:rFonts w:ascii="Times New Roman" w:hAnsi="Times New Roman"/>
          <w:color w:val="000000"/>
          <w:highlight w:val="none"/>
        </w:rPr>
      </w:pPr>
      <w:r>
        <w:rPr>
          <w:rFonts w:hint="eastAsia" w:ascii="Times New Roman" w:hAnsi="Times New Roman"/>
          <w:color w:val="000000"/>
          <w:highlight w:val="none"/>
        </w:rPr>
        <w:t>9</w:t>
      </w:r>
      <w:r>
        <w:rPr>
          <w:rFonts w:ascii="Times New Roman" w:hAnsi="Times New Roman"/>
          <w:color w:val="000000"/>
          <w:highlight w:val="none"/>
        </w:rPr>
        <w:t>.5.2 投标人或者其他利害关系人对招标文件、开标和评标结果提出投诉的，应当按照投标人须知第2.4款、第5.3款和第7.2款的规定先向招标人提出异议。异议答复期间</w:t>
      </w:r>
      <w:bookmarkStart w:id="447" w:name="_Toc361508630"/>
      <w:bookmarkStart w:id="448" w:name="_Toc369531561"/>
      <w:bookmarkStart w:id="449" w:name="_Toc12776"/>
      <w:bookmarkStart w:id="450" w:name="_Toc144974538"/>
      <w:bookmarkStart w:id="451" w:name="_Toc152045570"/>
      <w:bookmarkStart w:id="452" w:name="_Toc300834993"/>
      <w:bookmarkStart w:id="453" w:name="_Toc247527595"/>
      <w:bookmarkStart w:id="454" w:name="_Toc247513994"/>
      <w:bookmarkStart w:id="455" w:name="_Toc384308255"/>
      <w:bookmarkStart w:id="456" w:name="_Toc152042346"/>
      <w:bookmarkStart w:id="457" w:name="_Toc352691517"/>
      <w:r>
        <w:rPr>
          <w:rFonts w:ascii="Times New Roman" w:hAnsi="Times New Roman"/>
          <w:color w:val="000000"/>
          <w:highlight w:val="none"/>
        </w:rPr>
        <w:t>不计算在第</w:t>
      </w:r>
      <w:r>
        <w:rPr>
          <w:rFonts w:hint="eastAsia" w:ascii="Times New Roman" w:hAnsi="Times New Roman"/>
          <w:color w:val="000000"/>
          <w:highlight w:val="none"/>
        </w:rPr>
        <w:t>9</w:t>
      </w:r>
      <w:r>
        <w:rPr>
          <w:rFonts w:ascii="Times New Roman" w:hAnsi="Times New Roman"/>
          <w:color w:val="000000"/>
          <w:highlight w:val="none"/>
        </w:rPr>
        <w:t>.5.</w:t>
      </w:r>
      <w:bookmarkEnd w:id="447"/>
      <w:bookmarkEnd w:id="448"/>
      <w:bookmarkEnd w:id="449"/>
      <w:bookmarkEnd w:id="450"/>
      <w:bookmarkEnd w:id="451"/>
      <w:bookmarkEnd w:id="452"/>
      <w:bookmarkEnd w:id="453"/>
      <w:bookmarkEnd w:id="454"/>
      <w:bookmarkEnd w:id="455"/>
      <w:bookmarkEnd w:id="456"/>
      <w:bookmarkEnd w:id="457"/>
      <w:r>
        <w:rPr>
          <w:rFonts w:ascii="Times New Roman" w:hAnsi="Times New Roman"/>
          <w:color w:val="000000"/>
          <w:highlight w:val="none"/>
        </w:rPr>
        <w:t>1项规定的期限内。</w:t>
      </w:r>
    </w:p>
    <w:p>
      <w:pPr>
        <w:pStyle w:val="3"/>
        <w:spacing w:line="240" w:lineRule="auto"/>
        <w:rPr>
          <w:rFonts w:ascii="Times New Roman" w:hAnsi="Times New Roman"/>
          <w:highlight w:val="none"/>
        </w:rPr>
      </w:pPr>
      <w:bookmarkStart w:id="458" w:name="_Toc301025227"/>
      <w:r>
        <w:rPr>
          <w:rFonts w:ascii="Times New Roman" w:hAnsi="Times New Roman"/>
          <w:highlight w:val="none"/>
        </w:rPr>
        <w:t>10. 需要补充的其他内容</w:t>
      </w:r>
      <w:bookmarkEnd w:id="458"/>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需要补充的其他内容：见投标人须知前附表。</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br w:type="page"/>
      </w:r>
    </w:p>
    <w:p>
      <w:pPr>
        <w:pStyle w:val="3"/>
        <w:spacing w:before="120" w:after="120" w:line="600" w:lineRule="exact"/>
        <w:jc w:val="both"/>
        <w:rPr>
          <w:rFonts w:hint="eastAsia" w:ascii="仿宋_GB2312" w:hAnsi="宋体" w:eastAsia="仿宋_GB2312"/>
          <w:highlight w:val="none"/>
        </w:rPr>
      </w:pPr>
      <w:bookmarkStart w:id="459" w:name="_Toc1937548610"/>
      <w:bookmarkStart w:id="460" w:name="_Toc655287168"/>
      <w:r>
        <w:rPr>
          <w:rFonts w:hint="eastAsia" w:ascii="仿宋_GB2312" w:hAnsi="宋体" w:eastAsia="仿宋_GB2312"/>
          <w:b w:val="0"/>
          <w:bCs w:val="0"/>
          <w:sz w:val="28"/>
          <w:szCs w:val="28"/>
          <w:highlight w:val="none"/>
        </w:rPr>
        <w:t>附件一：招标文件澄清申请函</w:t>
      </w:r>
      <w:bookmarkEnd w:id="459"/>
      <w:bookmarkEnd w:id="460"/>
    </w:p>
    <w:p>
      <w:pPr>
        <w:spacing w:line="360" w:lineRule="auto"/>
        <w:jc w:val="center"/>
        <w:rPr>
          <w:rFonts w:ascii="黑体" w:hAnsi="黑体" w:eastAsia="黑体"/>
          <w:b w:val="0"/>
          <w:bCs/>
          <w:sz w:val="32"/>
          <w:szCs w:val="32"/>
          <w:highlight w:val="none"/>
        </w:rPr>
      </w:pPr>
      <w:r>
        <w:rPr>
          <w:rFonts w:hint="eastAsia" w:ascii="黑体" w:hAnsi="黑体" w:eastAsia="黑体"/>
          <w:b w:val="0"/>
          <w:bCs/>
          <w:sz w:val="32"/>
          <w:szCs w:val="32"/>
          <w:highlight w:val="none"/>
        </w:rPr>
        <w:t>招标文件澄清申请函</w:t>
      </w:r>
    </w:p>
    <w:p>
      <w:pPr>
        <w:spacing w:line="360" w:lineRule="auto"/>
        <w:jc w:val="center"/>
        <w:rPr>
          <w:rFonts w:hint="eastAsia" w:ascii="仿宋_GB2312" w:hAnsi="_x000B__x000C_" w:eastAsia="仿宋_GB2312"/>
          <w:b/>
          <w:sz w:val="24"/>
          <w:highlight w:val="none"/>
        </w:rPr>
      </w:pPr>
      <w:r>
        <w:rPr>
          <w:rFonts w:hint="eastAsia" w:ascii="仿宋_GB2312" w:hAnsi="_x000B__x000C_" w:eastAsia="仿宋_GB2312"/>
          <w:szCs w:val="21"/>
          <w:highlight w:val="none"/>
        </w:rPr>
        <w:t>编号：</w:t>
      </w:r>
    </w:p>
    <w:p>
      <w:pPr>
        <w:spacing w:line="360" w:lineRule="auto"/>
        <w:jc w:val="left"/>
        <w:rPr>
          <w:rFonts w:hint="eastAsia" w:ascii="仿宋_GB2312" w:hAnsi="_x000B__x000C_" w:eastAsia="仿宋_GB2312"/>
          <w:szCs w:val="21"/>
          <w:highlight w:val="none"/>
        </w:rPr>
      </w:pPr>
      <w:r>
        <w:rPr>
          <w:rFonts w:hint="eastAsia" w:ascii="仿宋_GB2312" w:hAnsi="_x000B__x000C_" w:eastAsia="仿宋_GB2312"/>
          <w:szCs w:val="21"/>
          <w:highlight w:val="none"/>
          <w:u w:val="single"/>
        </w:rPr>
        <w:t xml:space="preserve">         </w:t>
      </w:r>
      <w:r>
        <w:rPr>
          <w:rFonts w:hint="eastAsia" w:ascii="仿宋_GB2312" w:hAnsi="_x000B__x000C_" w:eastAsia="仿宋_GB2312"/>
          <w:szCs w:val="21"/>
          <w:highlight w:val="none"/>
        </w:rPr>
        <w:t xml:space="preserve">（招标人名称）: </w:t>
      </w:r>
    </w:p>
    <w:p>
      <w:pPr>
        <w:spacing w:line="360" w:lineRule="auto"/>
        <w:jc w:val="left"/>
        <w:rPr>
          <w:rFonts w:hint="eastAsia" w:ascii="仿宋_GB2312" w:hAnsi="_x000B__x000C_" w:eastAsia="仿宋_GB2312"/>
          <w:szCs w:val="21"/>
          <w:highlight w:val="none"/>
        </w:rPr>
      </w:pPr>
    </w:p>
    <w:p>
      <w:pPr>
        <w:spacing w:line="360" w:lineRule="auto"/>
        <w:ind w:firstLine="525" w:firstLineChars="250"/>
        <w:rPr>
          <w:rFonts w:hint="eastAsia" w:ascii="仿宋_GB2312" w:hAnsi="_x000B__x000C_" w:eastAsia="仿宋_GB2312"/>
          <w:szCs w:val="21"/>
          <w:highlight w:val="none"/>
        </w:rPr>
      </w:pPr>
      <w:r>
        <w:rPr>
          <w:rFonts w:hint="eastAsia" w:ascii="仿宋_GB2312" w:hAnsi="_x000B__x000C_" w:eastAsia="仿宋_GB2312"/>
          <w:szCs w:val="21"/>
          <w:highlight w:val="none"/>
        </w:rPr>
        <w:t>经过仔细阅读</w:t>
      </w:r>
      <w:r>
        <w:rPr>
          <w:rFonts w:hint="eastAsia" w:ascii="仿宋_GB2312" w:hAnsi="_x000B__x000C_" w:eastAsia="仿宋_GB2312"/>
          <w:szCs w:val="21"/>
          <w:highlight w:val="none"/>
          <w:u w:val="single"/>
        </w:rPr>
        <w:t xml:space="preserve">        </w:t>
      </w:r>
      <w:r>
        <w:rPr>
          <w:rFonts w:hint="eastAsia" w:ascii="仿宋_GB2312" w:hAnsi="_x000B__x000C_" w:eastAsia="仿宋_GB2312"/>
          <w:szCs w:val="21"/>
          <w:highlight w:val="none"/>
        </w:rPr>
        <w:t>（项目名称）</w:t>
      </w:r>
      <w:r>
        <w:rPr>
          <w:rFonts w:hint="eastAsia" w:ascii="仿宋_GB2312" w:hAnsi="_x000B__x000C_" w:eastAsia="仿宋_GB2312"/>
          <w:szCs w:val="21"/>
          <w:highlight w:val="none"/>
          <w:u w:val="single"/>
        </w:rPr>
        <w:t xml:space="preserve">        </w:t>
      </w:r>
      <w:r>
        <w:rPr>
          <w:rFonts w:hint="eastAsia" w:ascii="仿宋_GB2312" w:hAnsi="_x000B__x000C_" w:eastAsia="仿宋_GB2312"/>
          <w:szCs w:val="21"/>
          <w:highlight w:val="none"/>
        </w:rPr>
        <w:t xml:space="preserve">（标段名称）招标文件后，我方申请对以下问题予以澄清： </w:t>
      </w:r>
    </w:p>
    <w:p>
      <w:pPr>
        <w:spacing w:line="360" w:lineRule="auto"/>
        <w:ind w:firstLine="525" w:firstLineChars="250"/>
        <w:rPr>
          <w:rFonts w:hint="eastAsia" w:ascii="仿宋_GB2312" w:hAnsi="_x000B__x000C_" w:eastAsia="仿宋_GB2312"/>
          <w:szCs w:val="21"/>
          <w:highlight w:val="none"/>
        </w:rPr>
      </w:pPr>
    </w:p>
    <w:p>
      <w:pPr>
        <w:spacing w:line="360" w:lineRule="auto"/>
        <w:ind w:firstLine="840" w:firstLineChars="400"/>
        <w:rPr>
          <w:rFonts w:hint="eastAsia" w:ascii="仿宋_GB2312" w:eastAsia="仿宋_GB2312"/>
          <w:szCs w:val="21"/>
          <w:highlight w:val="none"/>
        </w:rPr>
      </w:pPr>
      <w:r>
        <w:rPr>
          <w:rFonts w:hint="eastAsia" w:ascii="仿宋_GB2312" w:eastAsia="仿宋_GB2312"/>
          <w:szCs w:val="21"/>
          <w:highlight w:val="none"/>
        </w:rPr>
        <w:t>1．</w:t>
      </w:r>
    </w:p>
    <w:p>
      <w:pPr>
        <w:spacing w:line="360" w:lineRule="auto"/>
        <w:ind w:firstLine="840" w:firstLineChars="400"/>
        <w:rPr>
          <w:rFonts w:hint="eastAsia" w:ascii="仿宋_GB2312" w:eastAsia="仿宋_GB2312"/>
          <w:szCs w:val="21"/>
          <w:highlight w:val="none"/>
        </w:rPr>
      </w:pPr>
      <w:r>
        <w:rPr>
          <w:rFonts w:hint="eastAsia" w:ascii="仿宋_GB2312" w:eastAsia="仿宋_GB2312"/>
          <w:szCs w:val="21"/>
          <w:highlight w:val="none"/>
        </w:rPr>
        <w:t>2．</w:t>
      </w:r>
    </w:p>
    <w:p>
      <w:pPr>
        <w:spacing w:line="360" w:lineRule="exact"/>
        <w:ind w:firstLine="840" w:firstLineChars="400"/>
        <w:rPr>
          <w:rFonts w:hint="eastAsia" w:ascii="仿宋_GB2312" w:hAnsi="宋体" w:eastAsia="仿宋_GB2312"/>
          <w:szCs w:val="21"/>
          <w:highlight w:val="none"/>
        </w:rPr>
      </w:pPr>
      <w:r>
        <w:rPr>
          <w:rFonts w:hint="eastAsia" w:ascii="仿宋_GB2312" w:hAnsi="宋体" w:eastAsia="仿宋_GB2312"/>
          <w:szCs w:val="21"/>
          <w:highlight w:val="none"/>
        </w:rPr>
        <w:t>……</w:t>
      </w:r>
    </w:p>
    <w:p>
      <w:pPr>
        <w:spacing w:line="360" w:lineRule="auto"/>
        <w:jc w:val="right"/>
        <w:rPr>
          <w:rFonts w:hint="eastAsia" w:ascii="仿宋_GB2312" w:hAnsi="_x000B__x000C_" w:eastAsia="仿宋_GB2312"/>
          <w:szCs w:val="21"/>
          <w:highlight w:val="none"/>
        </w:rPr>
      </w:pPr>
      <w:r>
        <w:rPr>
          <w:rFonts w:hint="eastAsia" w:ascii="仿宋_GB2312" w:hAnsi="_x000B__x000C_" w:eastAsia="仿宋_GB2312"/>
          <w:szCs w:val="21"/>
          <w:highlight w:val="none"/>
        </w:rPr>
        <w:t>投标人：</w:t>
      </w:r>
      <w:r>
        <w:rPr>
          <w:rFonts w:hint="eastAsia" w:ascii="仿宋_GB2312" w:hAnsi="_x000B__x000C_" w:eastAsia="仿宋_GB2312"/>
          <w:szCs w:val="21"/>
          <w:highlight w:val="none"/>
          <w:u w:val="single"/>
        </w:rPr>
        <w:t xml:space="preserve">            </w:t>
      </w:r>
      <w:r>
        <w:rPr>
          <w:rFonts w:hint="eastAsia" w:ascii="仿宋_GB2312" w:hAnsi="_x000B__x000C_" w:eastAsia="仿宋_GB2312"/>
          <w:szCs w:val="21"/>
          <w:highlight w:val="none"/>
        </w:rPr>
        <w:t>（盖单位章）</w:t>
      </w:r>
    </w:p>
    <w:p>
      <w:pPr>
        <w:spacing w:line="360" w:lineRule="auto"/>
        <w:jc w:val="right"/>
        <w:rPr>
          <w:rFonts w:hint="eastAsia" w:ascii="仿宋_GB2312" w:hAnsi="_x000B__x000C_" w:eastAsia="仿宋_GB2312"/>
          <w:szCs w:val="21"/>
          <w:highlight w:val="none"/>
          <w:u w:val="single"/>
        </w:rPr>
      </w:pPr>
    </w:p>
    <w:p>
      <w:pPr>
        <w:spacing w:line="360" w:lineRule="auto"/>
        <w:ind w:right="630" w:firstLine="5460" w:firstLineChars="2600"/>
        <w:jc w:val="right"/>
        <w:rPr>
          <w:rFonts w:hint="eastAsia" w:ascii="仿宋_GB2312" w:hAnsi="_x000B__x000C_" w:eastAsia="仿宋_GB2312"/>
          <w:szCs w:val="21"/>
          <w:highlight w:val="none"/>
        </w:rPr>
      </w:pPr>
      <w:r>
        <w:rPr>
          <w:rFonts w:hint="eastAsia" w:ascii="仿宋_GB2312" w:hAnsi="_x000B__x000C_" w:eastAsia="仿宋_GB2312"/>
          <w:szCs w:val="21"/>
          <w:highlight w:val="none"/>
          <w:u w:val="single"/>
        </w:rPr>
        <w:t xml:space="preserve">      </w:t>
      </w:r>
      <w:r>
        <w:rPr>
          <w:rFonts w:hint="eastAsia" w:ascii="仿宋_GB2312" w:hAnsi="_x000B__x000C_" w:eastAsia="仿宋_GB2312"/>
          <w:szCs w:val="21"/>
          <w:highlight w:val="none"/>
        </w:rPr>
        <w:t>年</w:t>
      </w:r>
      <w:r>
        <w:rPr>
          <w:rFonts w:hint="eastAsia" w:ascii="仿宋_GB2312" w:hAnsi="_x000B__x000C_" w:eastAsia="仿宋_GB2312"/>
          <w:szCs w:val="21"/>
          <w:highlight w:val="none"/>
          <w:u w:val="single"/>
        </w:rPr>
        <w:t xml:space="preserve">   </w:t>
      </w:r>
      <w:r>
        <w:rPr>
          <w:rFonts w:hint="eastAsia" w:ascii="仿宋_GB2312" w:hAnsi="_x000B__x000C_" w:eastAsia="仿宋_GB2312"/>
          <w:szCs w:val="21"/>
          <w:highlight w:val="none"/>
        </w:rPr>
        <w:t>月</w:t>
      </w:r>
      <w:r>
        <w:rPr>
          <w:rFonts w:hint="eastAsia" w:ascii="仿宋_GB2312" w:hAnsi="_x000B__x000C_" w:eastAsia="仿宋_GB2312"/>
          <w:szCs w:val="21"/>
          <w:highlight w:val="none"/>
          <w:u w:val="single"/>
        </w:rPr>
        <w:t xml:space="preserve">   </w:t>
      </w:r>
      <w:r>
        <w:rPr>
          <w:rFonts w:hint="eastAsia" w:ascii="仿宋_GB2312" w:hAnsi="_x000B__x000C_" w:eastAsia="仿宋_GB2312"/>
          <w:szCs w:val="21"/>
          <w:highlight w:val="none"/>
        </w:rPr>
        <w:t>日</w:t>
      </w:r>
    </w:p>
    <w:p>
      <w:pPr>
        <w:autoSpaceDE w:val="0"/>
        <w:autoSpaceDN w:val="0"/>
        <w:adjustRightInd w:val="0"/>
        <w:spacing w:line="440" w:lineRule="exact"/>
        <w:jc w:val="left"/>
        <w:rPr>
          <w:rFonts w:ascii="_x000B__x000C_" w:hAnsi="_x000B__x000C_" w:cs="Arial"/>
          <w:kern w:val="0"/>
          <w:szCs w:val="21"/>
          <w:highlight w:val="none"/>
        </w:rPr>
      </w:pPr>
      <w:r>
        <w:rPr>
          <w:rFonts w:hint="eastAsia" w:ascii="仿宋_GB2312" w:hAnsi="_x000B__x000C_" w:eastAsia="仿宋_GB2312"/>
          <w:kern w:val="0"/>
          <w:szCs w:val="21"/>
          <w:highlight w:val="none"/>
        </w:rPr>
        <w:t>注</w:t>
      </w:r>
      <w:r>
        <w:rPr>
          <w:rFonts w:hint="eastAsia" w:ascii="仿宋_GB2312" w:hAnsi="_x000B__x000C_" w:eastAsia="仿宋_GB2312" w:cs="Arial"/>
          <w:kern w:val="0"/>
          <w:szCs w:val="21"/>
          <w:highlight w:val="none"/>
        </w:rPr>
        <w:t>：</w:t>
      </w:r>
      <w:r>
        <w:rPr>
          <w:rFonts w:hint="eastAsia" w:ascii="仿宋_GB2312" w:hAnsi="_x000B__x000C_" w:eastAsia="仿宋_GB2312"/>
          <w:kern w:val="0"/>
          <w:szCs w:val="21"/>
          <w:highlight w:val="none"/>
        </w:rPr>
        <w:t>投标人要求招标人澄清招标文件有关问题时</w:t>
      </w:r>
      <w:r>
        <w:rPr>
          <w:rFonts w:hint="eastAsia" w:ascii="仿宋_GB2312" w:hAnsi="_x000B__x000C_" w:eastAsia="仿宋_GB2312" w:cs="Arial"/>
          <w:kern w:val="0"/>
          <w:szCs w:val="21"/>
          <w:highlight w:val="none"/>
        </w:rPr>
        <w:t>，</w:t>
      </w:r>
      <w:r>
        <w:rPr>
          <w:rFonts w:hint="eastAsia" w:ascii="仿宋_GB2312" w:hAnsi="_x000B__x000C_" w:eastAsia="仿宋_GB2312"/>
          <w:kern w:val="0"/>
          <w:szCs w:val="21"/>
          <w:highlight w:val="none"/>
        </w:rPr>
        <w:t>适用于本格式</w:t>
      </w:r>
      <w:r>
        <w:rPr>
          <w:rFonts w:hint="eastAsia" w:ascii="仿宋_GB2312" w:hAnsi="_x000B__x000C_" w:eastAsia="仿宋_GB2312" w:cs="Arial"/>
          <w:kern w:val="0"/>
          <w:szCs w:val="21"/>
          <w:highlight w:val="none"/>
        </w:rPr>
        <w:t>。</w:t>
      </w:r>
    </w:p>
    <w:p>
      <w:pPr>
        <w:rPr>
          <w:rFonts w:ascii="_x000B__x000C_" w:hAnsi="_x000B__x000C_"/>
          <w:highlight w:val="none"/>
        </w:rPr>
      </w:pPr>
    </w:p>
    <w:p>
      <w:pPr>
        <w:pStyle w:val="3"/>
        <w:spacing w:before="120" w:after="120" w:line="600" w:lineRule="exact"/>
        <w:jc w:val="both"/>
        <w:rPr>
          <w:rFonts w:hint="eastAsia" w:ascii="仿宋_GB2312" w:hAnsi="宋体" w:eastAsia="仿宋_GB2312"/>
          <w:b w:val="0"/>
          <w:bCs w:val="0"/>
          <w:sz w:val="28"/>
          <w:szCs w:val="28"/>
          <w:highlight w:val="none"/>
        </w:rPr>
      </w:pPr>
      <w:bookmarkStart w:id="461" w:name="_Toc34149515"/>
      <w:bookmarkStart w:id="462" w:name="_Toc255907518"/>
      <w:bookmarkStart w:id="463" w:name="_Toc256145670"/>
      <w:bookmarkStart w:id="464" w:name="_Toc523551004"/>
      <w:bookmarkStart w:id="465" w:name="_Toc261618329"/>
      <w:bookmarkStart w:id="466" w:name="_Toc256164763"/>
      <w:bookmarkStart w:id="467" w:name="_Toc524462382"/>
      <w:bookmarkStart w:id="468" w:name="_Toc479262331"/>
      <w:r>
        <w:rPr>
          <w:rFonts w:hint="eastAsia" w:ascii="仿宋_GB2312" w:hAnsi="宋体" w:eastAsia="仿宋_GB2312"/>
          <w:b w:val="0"/>
          <w:bCs w:val="0"/>
          <w:sz w:val="28"/>
          <w:szCs w:val="28"/>
          <w:highlight w:val="none"/>
        </w:rPr>
        <w:t>附件二：招标文件澄清通知</w:t>
      </w:r>
      <w:bookmarkEnd w:id="461"/>
      <w:bookmarkEnd w:id="462"/>
      <w:bookmarkEnd w:id="463"/>
      <w:bookmarkEnd w:id="464"/>
      <w:bookmarkEnd w:id="465"/>
      <w:bookmarkEnd w:id="466"/>
      <w:bookmarkEnd w:id="467"/>
      <w:bookmarkEnd w:id="468"/>
    </w:p>
    <w:p>
      <w:pPr>
        <w:rPr>
          <w:rFonts w:ascii="宋体" w:hAnsi="宋体"/>
          <w:b/>
          <w:dstrike/>
          <w:sz w:val="24"/>
          <w:highlight w:val="none"/>
        </w:rPr>
      </w:pPr>
    </w:p>
    <w:p>
      <w:pPr>
        <w:spacing w:line="360" w:lineRule="auto"/>
        <w:jc w:val="center"/>
        <w:rPr>
          <w:rFonts w:ascii="黑体" w:hAnsi="黑体" w:eastAsia="黑体"/>
          <w:b w:val="0"/>
          <w:bCs/>
          <w:sz w:val="32"/>
          <w:szCs w:val="32"/>
          <w:highlight w:val="none"/>
        </w:rPr>
      </w:pPr>
      <w:r>
        <w:rPr>
          <w:rFonts w:hint="eastAsia" w:ascii="黑体" w:hAnsi="黑体" w:eastAsia="黑体"/>
          <w:b w:val="0"/>
          <w:bCs/>
          <w:sz w:val="32"/>
          <w:szCs w:val="32"/>
          <w:highlight w:val="none"/>
        </w:rPr>
        <w:t>招标文件澄清通知</w:t>
      </w:r>
    </w:p>
    <w:p>
      <w:pPr>
        <w:spacing w:line="360" w:lineRule="auto"/>
        <w:jc w:val="center"/>
        <w:rPr>
          <w:rFonts w:hint="eastAsia" w:ascii="仿宋_GB2312" w:hAnsi="宋体" w:eastAsia="仿宋_GB2312"/>
          <w:b/>
          <w:sz w:val="24"/>
          <w:highlight w:val="none"/>
        </w:rPr>
      </w:pPr>
      <w:r>
        <w:rPr>
          <w:rFonts w:hint="eastAsia" w:ascii="仿宋_GB2312" w:hAnsi="宋体" w:eastAsia="仿宋_GB2312"/>
          <w:szCs w:val="21"/>
          <w:highlight w:val="none"/>
        </w:rPr>
        <w:t>编号：</w:t>
      </w:r>
    </w:p>
    <w:p>
      <w:pPr>
        <w:spacing w:line="360" w:lineRule="exact"/>
        <w:jc w:val="left"/>
        <w:rPr>
          <w:rFonts w:hint="eastAsia" w:ascii="仿宋_GB2312" w:hAnsi="宋体" w:eastAsia="仿宋_GB2312"/>
          <w:szCs w:val="21"/>
          <w:highlight w:val="none"/>
        </w:rPr>
      </w:pPr>
      <w:r>
        <w:rPr>
          <w:rFonts w:hint="eastAsia" w:ascii="仿宋_GB2312" w:hAnsi="宋体" w:eastAsia="仿宋_GB2312"/>
          <w:b/>
          <w:szCs w:val="21"/>
          <w:highlight w:val="none"/>
          <w:u w:val="single"/>
        </w:rPr>
        <w:t>各潜在投标人</w:t>
      </w:r>
      <w:r>
        <w:rPr>
          <w:rFonts w:hint="eastAsia" w:ascii="仿宋_GB2312" w:hAnsi="宋体" w:eastAsia="仿宋_GB2312"/>
          <w:szCs w:val="21"/>
          <w:highlight w:val="none"/>
        </w:rPr>
        <w:t xml:space="preserve">: </w:t>
      </w:r>
    </w:p>
    <w:p>
      <w:pPr>
        <w:spacing w:line="360" w:lineRule="exact"/>
        <w:jc w:val="left"/>
        <w:rPr>
          <w:rFonts w:hint="eastAsia" w:ascii="仿宋_GB2312" w:hAnsi="宋体" w:eastAsia="仿宋_GB2312"/>
          <w:szCs w:val="21"/>
          <w:highlight w:val="none"/>
        </w:rPr>
      </w:pPr>
    </w:p>
    <w:p>
      <w:pPr>
        <w:spacing w:line="360" w:lineRule="exact"/>
        <w:ind w:firstLine="525" w:firstLineChars="250"/>
        <w:rPr>
          <w:rFonts w:hint="eastAsia" w:ascii="仿宋_GB2312" w:hAnsi="宋体" w:eastAsia="仿宋_GB2312"/>
          <w:szCs w:val="21"/>
          <w:highlight w:val="none"/>
        </w:rPr>
      </w:pPr>
      <w:r>
        <w:rPr>
          <w:rFonts w:hint="eastAsia" w:ascii="仿宋_GB2312" w:hAnsi="宋体" w:eastAsia="仿宋_GB2312"/>
          <w:szCs w:val="21"/>
          <w:highlight w:val="none"/>
        </w:rPr>
        <w:t>经研究，对</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rPr>
        <w:t>（项目名称）</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rPr>
        <w:t xml:space="preserve">（标段名称）招标文件，作如下澄清： </w:t>
      </w:r>
    </w:p>
    <w:p>
      <w:pPr>
        <w:spacing w:line="360" w:lineRule="exact"/>
        <w:ind w:firstLine="525" w:firstLineChars="250"/>
        <w:rPr>
          <w:rFonts w:hint="eastAsia" w:ascii="仿宋_GB2312" w:hAnsi="宋体" w:eastAsia="仿宋_GB2312"/>
          <w:szCs w:val="21"/>
          <w:highlight w:val="none"/>
        </w:rPr>
      </w:pPr>
    </w:p>
    <w:p>
      <w:pPr>
        <w:spacing w:line="360" w:lineRule="auto"/>
        <w:ind w:firstLine="840" w:firstLineChars="400"/>
        <w:rPr>
          <w:rFonts w:hint="eastAsia" w:ascii="仿宋_GB2312" w:eastAsia="仿宋_GB2312"/>
          <w:szCs w:val="21"/>
          <w:highlight w:val="none"/>
        </w:rPr>
      </w:pPr>
      <w:r>
        <w:rPr>
          <w:rFonts w:hint="eastAsia" w:ascii="仿宋_GB2312" w:eastAsia="仿宋_GB2312"/>
          <w:szCs w:val="21"/>
          <w:highlight w:val="none"/>
        </w:rPr>
        <w:t>1．</w:t>
      </w:r>
    </w:p>
    <w:p>
      <w:pPr>
        <w:spacing w:line="360" w:lineRule="auto"/>
        <w:ind w:firstLine="840" w:firstLineChars="400"/>
        <w:rPr>
          <w:rFonts w:hint="eastAsia" w:ascii="仿宋_GB2312" w:eastAsia="仿宋_GB2312"/>
          <w:szCs w:val="21"/>
          <w:highlight w:val="none"/>
        </w:rPr>
      </w:pPr>
      <w:r>
        <w:rPr>
          <w:rFonts w:hint="eastAsia" w:ascii="仿宋_GB2312" w:eastAsia="仿宋_GB2312"/>
          <w:szCs w:val="21"/>
          <w:highlight w:val="none"/>
        </w:rPr>
        <w:t>2．</w:t>
      </w:r>
    </w:p>
    <w:p>
      <w:pPr>
        <w:spacing w:line="360" w:lineRule="exact"/>
        <w:ind w:firstLine="840" w:firstLineChars="400"/>
        <w:rPr>
          <w:rFonts w:hint="eastAsia" w:ascii="仿宋_GB2312" w:hAnsi="宋体" w:eastAsia="仿宋_GB2312"/>
          <w:szCs w:val="21"/>
          <w:highlight w:val="none"/>
        </w:rPr>
      </w:pPr>
      <w:r>
        <w:rPr>
          <w:rFonts w:hint="eastAsia" w:ascii="仿宋_GB2312" w:hAnsi="宋体" w:eastAsia="仿宋_GB2312"/>
          <w:szCs w:val="21"/>
          <w:highlight w:val="none"/>
        </w:rPr>
        <w:t>……</w:t>
      </w:r>
    </w:p>
    <w:p>
      <w:pPr>
        <w:autoSpaceDE w:val="0"/>
        <w:autoSpaceDN w:val="0"/>
        <w:adjustRightInd w:val="0"/>
        <w:spacing w:line="360" w:lineRule="exact"/>
        <w:jc w:val="right"/>
        <w:rPr>
          <w:rFonts w:hint="eastAsia" w:ascii="仿宋_GB2312" w:hAnsi="宋体" w:eastAsia="仿宋_GB2312" w:cs="SSJ-PK7482000002d-Identity-H"/>
          <w:kern w:val="0"/>
          <w:szCs w:val="21"/>
          <w:highlight w:val="none"/>
        </w:rPr>
      </w:pPr>
    </w:p>
    <w:p>
      <w:pPr>
        <w:autoSpaceDE w:val="0"/>
        <w:autoSpaceDN w:val="0"/>
        <w:adjustRightInd w:val="0"/>
        <w:spacing w:line="360" w:lineRule="exact"/>
        <w:jc w:val="right"/>
        <w:rPr>
          <w:rFonts w:hint="eastAsia" w:ascii="仿宋_GB2312" w:hAnsi="宋体" w:eastAsia="仿宋_GB2312" w:cs="H-SS9-PK74820000032-Identity-H"/>
          <w:kern w:val="0"/>
          <w:szCs w:val="21"/>
          <w:highlight w:val="none"/>
        </w:rPr>
      </w:pPr>
      <w:r>
        <w:rPr>
          <w:rFonts w:hint="eastAsia" w:ascii="仿宋_GB2312" w:hAnsi="宋体" w:eastAsia="仿宋_GB2312" w:cs="SSJ-PK7482000002d-Identity-H"/>
          <w:kern w:val="0"/>
          <w:szCs w:val="21"/>
          <w:highlight w:val="none"/>
        </w:rPr>
        <w:t>招标人</w:t>
      </w:r>
      <w:r>
        <w:rPr>
          <w:rFonts w:hint="eastAsia" w:ascii="仿宋_GB2312" w:hAnsi="宋体" w:eastAsia="仿宋_GB2312" w:cs="H-SS9-PK74820000032-Identity-H"/>
          <w:kern w:val="0"/>
          <w:szCs w:val="21"/>
          <w:highlight w:val="none"/>
        </w:rPr>
        <w:t>：</w:t>
      </w:r>
      <w:r>
        <w:rPr>
          <w:rFonts w:hint="eastAsia" w:ascii="仿宋_GB2312" w:hAnsi="宋体" w:eastAsia="仿宋_GB2312"/>
          <w:sz w:val="28"/>
          <w:szCs w:val="28"/>
          <w:highlight w:val="none"/>
          <w:u w:val="single"/>
        </w:rPr>
        <w:t xml:space="preserve">      </w:t>
      </w:r>
      <w:r>
        <w:rPr>
          <w:rFonts w:hint="eastAsia" w:ascii="仿宋_GB2312" w:hAnsi="宋体" w:eastAsia="仿宋_GB2312" w:cs="H-SS9-PK74820000032-Identity-H"/>
          <w:kern w:val="0"/>
          <w:szCs w:val="21"/>
          <w:highlight w:val="none"/>
        </w:rPr>
        <w:t xml:space="preserve"> （</w:t>
      </w:r>
      <w:r>
        <w:rPr>
          <w:rFonts w:hint="eastAsia" w:ascii="仿宋_GB2312" w:hAnsi="宋体" w:eastAsia="仿宋_GB2312" w:cs="SSJ-PK7482000002d-Identity-H"/>
          <w:kern w:val="0"/>
          <w:szCs w:val="21"/>
          <w:highlight w:val="none"/>
        </w:rPr>
        <w:t>盖单位章</w:t>
      </w:r>
      <w:r>
        <w:rPr>
          <w:rFonts w:hint="eastAsia" w:ascii="仿宋_GB2312" w:hAnsi="宋体" w:eastAsia="仿宋_GB2312" w:cs="H-SS9-PK74820000032-Identity-H"/>
          <w:kern w:val="0"/>
          <w:szCs w:val="21"/>
          <w:highlight w:val="none"/>
        </w:rPr>
        <w:t>）</w:t>
      </w:r>
    </w:p>
    <w:p>
      <w:pPr>
        <w:autoSpaceDE w:val="0"/>
        <w:autoSpaceDN w:val="0"/>
        <w:adjustRightInd w:val="0"/>
        <w:spacing w:line="360" w:lineRule="exact"/>
        <w:jc w:val="right"/>
        <w:rPr>
          <w:rFonts w:hint="eastAsia" w:ascii="仿宋_GB2312" w:hAnsi="宋体" w:eastAsia="仿宋_GB2312" w:cs="SSJ-PK7482000002d-Identity-H"/>
          <w:kern w:val="0"/>
          <w:szCs w:val="21"/>
          <w:highlight w:val="none"/>
        </w:rPr>
      </w:pPr>
      <w:r>
        <w:rPr>
          <w:rFonts w:hint="eastAsia" w:ascii="仿宋_GB2312" w:hAnsi="宋体" w:eastAsia="仿宋_GB2312"/>
          <w:sz w:val="28"/>
          <w:szCs w:val="28"/>
          <w:highlight w:val="none"/>
          <w:u w:val="single"/>
        </w:rPr>
        <w:t xml:space="preserve">      </w:t>
      </w:r>
      <w:r>
        <w:rPr>
          <w:rFonts w:hint="eastAsia" w:ascii="仿宋_GB2312" w:hAnsi="宋体" w:eastAsia="仿宋_GB2312" w:cs="SSJ-PK7482000002d-Identity-H"/>
          <w:kern w:val="0"/>
          <w:szCs w:val="21"/>
          <w:highlight w:val="none"/>
        </w:rPr>
        <w:t>年</w:t>
      </w:r>
      <w:r>
        <w:rPr>
          <w:rFonts w:hint="eastAsia" w:ascii="仿宋_GB2312" w:hAnsi="宋体" w:eastAsia="仿宋_GB2312"/>
          <w:sz w:val="28"/>
          <w:szCs w:val="28"/>
          <w:highlight w:val="none"/>
          <w:u w:val="single"/>
        </w:rPr>
        <w:t xml:space="preserve">      </w:t>
      </w:r>
      <w:r>
        <w:rPr>
          <w:rFonts w:hint="eastAsia" w:ascii="仿宋_GB2312" w:hAnsi="宋体" w:eastAsia="仿宋_GB2312" w:cs="SSJ-PK7482000002d-Identity-H"/>
          <w:kern w:val="0"/>
          <w:szCs w:val="21"/>
          <w:highlight w:val="none"/>
        </w:rPr>
        <w:t>月</w:t>
      </w:r>
      <w:r>
        <w:rPr>
          <w:rFonts w:hint="eastAsia" w:ascii="仿宋_GB2312" w:hAnsi="宋体" w:eastAsia="仿宋_GB2312"/>
          <w:sz w:val="28"/>
          <w:szCs w:val="28"/>
          <w:highlight w:val="none"/>
          <w:u w:val="single"/>
        </w:rPr>
        <w:t xml:space="preserve">      </w:t>
      </w:r>
      <w:r>
        <w:rPr>
          <w:rFonts w:hint="eastAsia" w:ascii="仿宋_GB2312" w:hAnsi="宋体" w:eastAsia="仿宋_GB2312" w:cs="SSJ-PK7482000002d-Identity-H"/>
          <w:kern w:val="0"/>
          <w:szCs w:val="21"/>
          <w:highlight w:val="none"/>
        </w:rPr>
        <w:t>日</w:t>
      </w:r>
    </w:p>
    <w:p>
      <w:pPr>
        <w:autoSpaceDE w:val="0"/>
        <w:autoSpaceDN w:val="0"/>
        <w:adjustRightInd w:val="0"/>
        <w:spacing w:line="360" w:lineRule="exact"/>
        <w:ind w:left="433" w:hanging="432" w:hangingChars="206"/>
        <w:jc w:val="left"/>
        <w:rPr>
          <w:rFonts w:ascii="宋体" w:hAnsi="宋体" w:cs="H-SS9-PK74820000032-Identity-H"/>
          <w:kern w:val="0"/>
          <w:szCs w:val="21"/>
          <w:highlight w:val="none"/>
        </w:rPr>
      </w:pPr>
      <w:r>
        <w:rPr>
          <w:rFonts w:hint="eastAsia" w:ascii="仿宋_GB2312" w:hAnsi="宋体" w:eastAsia="仿宋_GB2312" w:cs="SSJ-PK7482000002d-Identity-H"/>
          <w:kern w:val="0"/>
          <w:szCs w:val="21"/>
          <w:highlight w:val="none"/>
        </w:rPr>
        <w:t>注</w:t>
      </w:r>
      <w:r>
        <w:rPr>
          <w:rFonts w:hint="eastAsia" w:ascii="仿宋_GB2312" w:hAnsi="宋体" w:eastAsia="仿宋_GB2312" w:cs="H-SS9-PK74820000032-Identity-H"/>
          <w:kern w:val="0"/>
          <w:szCs w:val="21"/>
          <w:highlight w:val="none"/>
        </w:rPr>
        <w:t>：</w:t>
      </w:r>
      <w:r>
        <w:rPr>
          <w:rFonts w:hint="eastAsia" w:ascii="仿宋_GB2312" w:hAnsi="宋体" w:eastAsia="仿宋_GB2312" w:cs="SSJ-PK7482000002d-Identity-H"/>
          <w:kern w:val="0"/>
          <w:szCs w:val="21"/>
          <w:highlight w:val="none"/>
        </w:rPr>
        <w:t>招标人对招标文件有关问题澄清时</w:t>
      </w:r>
      <w:r>
        <w:rPr>
          <w:rFonts w:hint="eastAsia" w:ascii="仿宋_GB2312" w:hAnsi="宋体" w:eastAsia="仿宋_GB2312" w:cs="H-SS9-PK74820000032-Identity-H"/>
          <w:kern w:val="0"/>
          <w:szCs w:val="21"/>
          <w:highlight w:val="none"/>
        </w:rPr>
        <w:t>，</w:t>
      </w:r>
      <w:r>
        <w:rPr>
          <w:rFonts w:hint="eastAsia" w:ascii="仿宋_GB2312" w:hAnsi="宋体" w:eastAsia="仿宋_GB2312" w:cs="SSJ-PK7482000002d-Identity-H"/>
          <w:kern w:val="0"/>
          <w:szCs w:val="21"/>
          <w:highlight w:val="none"/>
        </w:rPr>
        <w:t>适用于本格式</w:t>
      </w:r>
      <w:r>
        <w:rPr>
          <w:rFonts w:hint="eastAsia" w:ascii="仿宋_GB2312" w:hAnsi="宋体" w:eastAsia="仿宋_GB2312" w:cs="H-SS9-PK74820000032-Identity-H"/>
          <w:kern w:val="0"/>
          <w:szCs w:val="21"/>
          <w:highlight w:val="none"/>
        </w:rPr>
        <w:t>。</w:t>
      </w:r>
      <w:r>
        <w:rPr>
          <w:rFonts w:hint="eastAsia" w:ascii="仿宋_GB2312" w:hAnsi="宋体" w:eastAsia="仿宋_GB2312" w:cs="SSJ-PK7482000002d-Identity-H"/>
          <w:kern w:val="0"/>
          <w:szCs w:val="21"/>
          <w:highlight w:val="none"/>
        </w:rPr>
        <w:t>招标人可根据需要将附件二与附件三内容合并发出</w:t>
      </w:r>
      <w:r>
        <w:rPr>
          <w:rFonts w:hint="eastAsia" w:ascii="仿宋_GB2312" w:hAnsi="宋体" w:eastAsia="仿宋_GB2312" w:cs="H-SS9-PK74820000032-Identity-H"/>
          <w:kern w:val="0"/>
          <w:szCs w:val="21"/>
          <w:highlight w:val="none"/>
        </w:rPr>
        <w:t>。</w:t>
      </w:r>
    </w:p>
    <w:p>
      <w:pPr>
        <w:pStyle w:val="3"/>
        <w:spacing w:before="120" w:after="120" w:line="600" w:lineRule="exact"/>
        <w:jc w:val="both"/>
        <w:rPr>
          <w:rFonts w:hint="eastAsia" w:ascii="仿宋_GB2312" w:hAnsi="宋体" w:eastAsia="仿宋_GB2312"/>
          <w:b w:val="0"/>
          <w:bCs w:val="0"/>
          <w:sz w:val="28"/>
          <w:szCs w:val="28"/>
          <w:highlight w:val="none"/>
        </w:rPr>
      </w:pPr>
      <w:bookmarkStart w:id="469" w:name="_Toc261618330"/>
      <w:bookmarkStart w:id="470" w:name="_Toc256145671"/>
      <w:bookmarkStart w:id="471" w:name="_Toc11791048"/>
      <w:bookmarkStart w:id="472" w:name="_Toc255907519"/>
      <w:bookmarkStart w:id="473" w:name="_Toc256164764"/>
      <w:bookmarkStart w:id="474" w:name="_Toc479262332"/>
      <w:bookmarkStart w:id="475" w:name="_Toc1484676183"/>
      <w:bookmarkStart w:id="476" w:name="_Toc524462383"/>
      <w:r>
        <w:rPr>
          <w:rFonts w:hint="eastAsia" w:ascii="仿宋_GB2312" w:hAnsi="宋体" w:eastAsia="仿宋_GB2312"/>
          <w:b w:val="0"/>
          <w:bCs w:val="0"/>
          <w:sz w:val="28"/>
          <w:szCs w:val="28"/>
          <w:highlight w:val="none"/>
        </w:rPr>
        <w:t>附件三：招标文件修改通知</w:t>
      </w:r>
      <w:bookmarkEnd w:id="469"/>
      <w:bookmarkEnd w:id="470"/>
      <w:bookmarkEnd w:id="471"/>
      <w:bookmarkEnd w:id="472"/>
      <w:bookmarkEnd w:id="473"/>
      <w:bookmarkEnd w:id="474"/>
      <w:bookmarkEnd w:id="475"/>
      <w:bookmarkEnd w:id="476"/>
    </w:p>
    <w:p>
      <w:pPr>
        <w:spacing w:line="360" w:lineRule="auto"/>
        <w:jc w:val="center"/>
        <w:rPr>
          <w:rFonts w:ascii="宋体" w:hAnsi="宋体"/>
          <w:b/>
          <w:sz w:val="24"/>
          <w:highlight w:val="none"/>
        </w:rPr>
      </w:pPr>
    </w:p>
    <w:p>
      <w:pPr>
        <w:spacing w:line="360" w:lineRule="auto"/>
        <w:jc w:val="center"/>
        <w:rPr>
          <w:rFonts w:ascii="黑体" w:hAnsi="黑体" w:eastAsia="黑体"/>
          <w:b w:val="0"/>
          <w:bCs/>
          <w:sz w:val="32"/>
          <w:szCs w:val="32"/>
          <w:highlight w:val="none"/>
        </w:rPr>
      </w:pPr>
      <w:r>
        <w:rPr>
          <w:rFonts w:hint="eastAsia" w:ascii="黑体" w:hAnsi="黑体" w:eastAsia="黑体"/>
          <w:b w:val="0"/>
          <w:bCs/>
          <w:sz w:val="32"/>
          <w:szCs w:val="32"/>
          <w:highlight w:val="none"/>
        </w:rPr>
        <w:t>招标文件修改通知</w:t>
      </w:r>
    </w:p>
    <w:p>
      <w:pPr>
        <w:spacing w:line="360" w:lineRule="auto"/>
        <w:jc w:val="center"/>
        <w:rPr>
          <w:rFonts w:hint="eastAsia" w:ascii="仿宋_GB2312" w:hAnsi="宋体" w:eastAsia="仿宋_GB2312"/>
          <w:b/>
          <w:sz w:val="24"/>
          <w:highlight w:val="none"/>
        </w:rPr>
      </w:pPr>
      <w:r>
        <w:rPr>
          <w:rFonts w:hint="eastAsia" w:ascii="仿宋_GB2312" w:hAnsi="宋体" w:eastAsia="仿宋_GB2312"/>
          <w:szCs w:val="21"/>
          <w:highlight w:val="none"/>
        </w:rPr>
        <w:t>编号：</w:t>
      </w:r>
    </w:p>
    <w:p>
      <w:pPr>
        <w:autoSpaceDE w:val="0"/>
        <w:autoSpaceDN w:val="0"/>
        <w:adjustRightInd w:val="0"/>
        <w:spacing w:line="440" w:lineRule="exact"/>
        <w:jc w:val="left"/>
        <w:rPr>
          <w:rFonts w:hint="eastAsia" w:ascii="仿宋_GB2312" w:hAnsi="宋体" w:eastAsia="仿宋_GB2312" w:cs="H-SS9-PK74820000032-Identity-H"/>
          <w:kern w:val="0"/>
          <w:szCs w:val="21"/>
          <w:highlight w:val="none"/>
        </w:rPr>
      </w:pPr>
      <w:r>
        <w:rPr>
          <w:rFonts w:hint="eastAsia" w:ascii="仿宋_GB2312" w:hAnsi="宋体" w:eastAsia="仿宋_GB2312"/>
          <w:b/>
          <w:szCs w:val="21"/>
          <w:highlight w:val="none"/>
          <w:u w:val="single"/>
        </w:rPr>
        <w:t>各潜在投标人</w:t>
      </w:r>
      <w:r>
        <w:rPr>
          <w:rFonts w:hint="eastAsia" w:ascii="仿宋_GB2312" w:hAnsi="宋体" w:eastAsia="仿宋_GB2312" w:cs="H-SS9-PK74820000032-Identity-H"/>
          <w:kern w:val="0"/>
          <w:szCs w:val="21"/>
          <w:highlight w:val="none"/>
        </w:rPr>
        <w:t>：</w:t>
      </w:r>
    </w:p>
    <w:p>
      <w:pPr>
        <w:autoSpaceDE w:val="0"/>
        <w:autoSpaceDN w:val="0"/>
        <w:adjustRightInd w:val="0"/>
        <w:spacing w:line="440" w:lineRule="exact"/>
        <w:ind w:firstLine="420" w:firstLineChars="200"/>
        <w:jc w:val="left"/>
        <w:rPr>
          <w:rFonts w:hint="eastAsia" w:ascii="仿宋_GB2312" w:hAnsi="宋体" w:eastAsia="仿宋_GB2312" w:cs="H-SS9-PK74820000032-Identity-H"/>
          <w:kern w:val="0"/>
          <w:szCs w:val="21"/>
          <w:highlight w:val="none"/>
        </w:rPr>
      </w:pPr>
      <w:r>
        <w:rPr>
          <w:rFonts w:hint="eastAsia" w:ascii="仿宋_GB2312" w:hAnsi="宋体" w:eastAsia="仿宋_GB2312" w:cs="SSJ-PK7482000002d-Identity-H"/>
          <w:kern w:val="0"/>
          <w:szCs w:val="21"/>
          <w:highlight w:val="none"/>
        </w:rPr>
        <w:t>经研究</w:t>
      </w:r>
      <w:r>
        <w:rPr>
          <w:rFonts w:hint="eastAsia" w:ascii="仿宋_GB2312" w:hAnsi="宋体" w:eastAsia="仿宋_GB2312" w:cs="H-SS9-PK74820000032-Identity-H"/>
          <w:kern w:val="0"/>
          <w:szCs w:val="21"/>
          <w:highlight w:val="none"/>
        </w:rPr>
        <w:t>，</w:t>
      </w:r>
      <w:r>
        <w:rPr>
          <w:rFonts w:hint="eastAsia" w:ascii="仿宋_GB2312" w:hAnsi="宋体" w:eastAsia="仿宋_GB2312" w:cs="SSJ-PK7482000002d-Identity-H"/>
          <w:kern w:val="0"/>
          <w:szCs w:val="21"/>
          <w:highlight w:val="none"/>
        </w:rPr>
        <w:t>对</w:t>
      </w:r>
      <w:r>
        <w:rPr>
          <w:rFonts w:hint="eastAsia" w:ascii="仿宋_GB2312" w:hAnsi="宋体" w:eastAsia="仿宋_GB2312"/>
          <w:sz w:val="28"/>
          <w:szCs w:val="28"/>
          <w:highlight w:val="none"/>
          <w:u w:val="single"/>
        </w:rPr>
        <w:t xml:space="preserve">      </w:t>
      </w:r>
      <w:r>
        <w:rPr>
          <w:rFonts w:hint="eastAsia" w:ascii="仿宋_GB2312" w:hAnsi="宋体" w:eastAsia="仿宋_GB2312" w:cs="H-SS9-PK74820000032-Identity-H"/>
          <w:kern w:val="0"/>
          <w:szCs w:val="21"/>
          <w:highlight w:val="none"/>
        </w:rPr>
        <w:t>（</w:t>
      </w:r>
      <w:r>
        <w:rPr>
          <w:rFonts w:hint="eastAsia" w:ascii="仿宋_GB2312" w:hAnsi="宋体" w:eastAsia="仿宋_GB2312" w:cs="SSJ-PK7482000002d-Identity-H"/>
          <w:kern w:val="0"/>
          <w:szCs w:val="21"/>
          <w:highlight w:val="none"/>
        </w:rPr>
        <w:t>项目名称</w:t>
      </w:r>
      <w:r>
        <w:rPr>
          <w:rFonts w:hint="eastAsia" w:ascii="仿宋_GB2312" w:hAnsi="宋体" w:eastAsia="仿宋_GB2312" w:cs="H-SS9-PK74820000032-Identity-H"/>
          <w:kern w:val="0"/>
          <w:szCs w:val="21"/>
          <w:highlight w:val="none"/>
        </w:rPr>
        <w:t>）</w:t>
      </w:r>
      <w:r>
        <w:rPr>
          <w:rFonts w:hint="eastAsia" w:ascii="仿宋_GB2312" w:hAnsi="宋体" w:eastAsia="仿宋_GB2312"/>
          <w:sz w:val="28"/>
          <w:szCs w:val="28"/>
          <w:highlight w:val="none"/>
          <w:u w:val="single"/>
        </w:rPr>
        <w:t xml:space="preserve">      </w:t>
      </w:r>
      <w:r>
        <w:rPr>
          <w:rFonts w:hint="eastAsia" w:ascii="仿宋_GB2312" w:hAnsi="宋体" w:eastAsia="仿宋_GB2312" w:cs="H-SS9-PK74820000032-Identity-H"/>
          <w:kern w:val="0"/>
          <w:szCs w:val="21"/>
          <w:highlight w:val="none"/>
        </w:rPr>
        <w:t>（</w:t>
      </w:r>
      <w:r>
        <w:rPr>
          <w:rFonts w:hint="eastAsia" w:ascii="仿宋_GB2312" w:hAnsi="宋体" w:eastAsia="仿宋_GB2312" w:cs="SSJ-PK7482000002d-Identity-H"/>
          <w:kern w:val="0"/>
          <w:szCs w:val="21"/>
          <w:highlight w:val="none"/>
        </w:rPr>
        <w:t>标段名称</w:t>
      </w:r>
      <w:r>
        <w:rPr>
          <w:rFonts w:hint="eastAsia" w:ascii="仿宋_GB2312" w:hAnsi="宋体" w:eastAsia="仿宋_GB2312" w:cs="H-SS9-PK74820000032-Identity-H"/>
          <w:kern w:val="0"/>
          <w:szCs w:val="21"/>
          <w:highlight w:val="none"/>
        </w:rPr>
        <w:t>）</w:t>
      </w:r>
      <w:r>
        <w:rPr>
          <w:rFonts w:hint="eastAsia" w:ascii="仿宋_GB2312" w:hAnsi="宋体" w:eastAsia="仿宋_GB2312" w:cs="SSJ-PK7482000002d-Identity-H"/>
          <w:kern w:val="0"/>
          <w:szCs w:val="21"/>
          <w:highlight w:val="none"/>
        </w:rPr>
        <w:t>招标文件</w:t>
      </w:r>
      <w:r>
        <w:rPr>
          <w:rFonts w:hint="eastAsia" w:ascii="仿宋_GB2312" w:hAnsi="宋体" w:eastAsia="仿宋_GB2312" w:cs="H-SS9-PK74820000032-Identity-H"/>
          <w:kern w:val="0"/>
          <w:szCs w:val="21"/>
          <w:highlight w:val="none"/>
        </w:rPr>
        <w:t>，</w:t>
      </w:r>
      <w:r>
        <w:rPr>
          <w:rFonts w:hint="eastAsia" w:ascii="仿宋_GB2312" w:hAnsi="宋体" w:eastAsia="仿宋_GB2312" w:cs="SSJ-PK7482000002d-Identity-H"/>
          <w:kern w:val="0"/>
          <w:szCs w:val="21"/>
          <w:highlight w:val="none"/>
        </w:rPr>
        <w:t>作如下修改</w:t>
      </w:r>
      <w:r>
        <w:rPr>
          <w:rFonts w:hint="eastAsia" w:ascii="仿宋_GB2312" w:hAnsi="宋体" w:eastAsia="仿宋_GB2312" w:cs="H-SS9-PK74820000032-Identity-H"/>
          <w:kern w:val="0"/>
          <w:szCs w:val="21"/>
          <w:highlight w:val="none"/>
        </w:rPr>
        <w:t>：</w:t>
      </w:r>
    </w:p>
    <w:p>
      <w:pPr>
        <w:spacing w:line="360" w:lineRule="exact"/>
        <w:ind w:firstLine="840" w:firstLineChars="400"/>
        <w:rPr>
          <w:rFonts w:hint="eastAsia" w:ascii="仿宋_GB2312" w:hAnsi="宋体" w:eastAsia="仿宋_GB2312"/>
          <w:szCs w:val="21"/>
          <w:highlight w:val="none"/>
        </w:rPr>
      </w:pPr>
    </w:p>
    <w:p>
      <w:pPr>
        <w:spacing w:line="360" w:lineRule="exact"/>
        <w:ind w:firstLine="840" w:firstLineChars="400"/>
        <w:rPr>
          <w:rFonts w:hint="eastAsia" w:ascii="仿宋_GB2312" w:hAnsi="宋体" w:eastAsia="仿宋_GB2312"/>
          <w:szCs w:val="21"/>
          <w:highlight w:val="none"/>
        </w:rPr>
      </w:pPr>
    </w:p>
    <w:p>
      <w:pPr>
        <w:spacing w:line="360" w:lineRule="exact"/>
        <w:ind w:firstLine="840" w:firstLineChars="400"/>
        <w:rPr>
          <w:rFonts w:hint="eastAsia" w:ascii="仿宋_GB2312" w:eastAsia="仿宋_GB2312"/>
          <w:szCs w:val="21"/>
          <w:highlight w:val="none"/>
        </w:rPr>
      </w:pPr>
      <w:r>
        <w:rPr>
          <w:rFonts w:hint="eastAsia" w:ascii="仿宋_GB2312" w:eastAsia="仿宋_GB2312"/>
          <w:szCs w:val="21"/>
          <w:highlight w:val="none"/>
        </w:rPr>
        <w:t>1．</w:t>
      </w:r>
    </w:p>
    <w:p>
      <w:pPr>
        <w:spacing w:line="360" w:lineRule="exact"/>
        <w:ind w:firstLine="840" w:firstLineChars="400"/>
        <w:rPr>
          <w:rFonts w:hint="eastAsia" w:ascii="仿宋_GB2312" w:eastAsia="仿宋_GB2312"/>
          <w:szCs w:val="21"/>
          <w:highlight w:val="none"/>
        </w:rPr>
      </w:pPr>
      <w:r>
        <w:rPr>
          <w:rFonts w:hint="eastAsia" w:ascii="仿宋_GB2312" w:eastAsia="仿宋_GB2312"/>
          <w:szCs w:val="21"/>
          <w:highlight w:val="none"/>
        </w:rPr>
        <w:t>2．</w:t>
      </w:r>
    </w:p>
    <w:p>
      <w:pPr>
        <w:autoSpaceDE w:val="0"/>
        <w:autoSpaceDN w:val="0"/>
        <w:adjustRightInd w:val="0"/>
        <w:spacing w:line="440" w:lineRule="exact"/>
        <w:jc w:val="left"/>
        <w:rPr>
          <w:rFonts w:hint="eastAsia" w:ascii="仿宋_GB2312" w:hAnsi="宋体" w:eastAsia="仿宋_GB2312" w:cs="H-SS9-PK74820000032-Identity-H"/>
          <w:kern w:val="0"/>
          <w:szCs w:val="21"/>
          <w:highlight w:val="none"/>
        </w:rPr>
      </w:pPr>
      <w:r>
        <w:rPr>
          <w:rFonts w:hint="eastAsia" w:ascii="仿宋_GB2312" w:hAnsi="宋体" w:eastAsia="仿宋_GB2312"/>
          <w:szCs w:val="21"/>
          <w:highlight w:val="none"/>
        </w:rPr>
        <w:t>　　　　……</w:t>
      </w:r>
    </w:p>
    <w:p>
      <w:pPr>
        <w:autoSpaceDE w:val="0"/>
        <w:autoSpaceDN w:val="0"/>
        <w:adjustRightInd w:val="0"/>
        <w:spacing w:line="440" w:lineRule="exact"/>
        <w:jc w:val="right"/>
        <w:rPr>
          <w:rFonts w:hint="eastAsia" w:ascii="仿宋_GB2312" w:hAnsi="宋体" w:eastAsia="仿宋_GB2312" w:cs="SSJ-PK7482000002d-Identity-H"/>
          <w:kern w:val="0"/>
          <w:szCs w:val="21"/>
          <w:highlight w:val="none"/>
        </w:rPr>
      </w:pPr>
    </w:p>
    <w:p>
      <w:pPr>
        <w:autoSpaceDE w:val="0"/>
        <w:autoSpaceDN w:val="0"/>
        <w:adjustRightInd w:val="0"/>
        <w:spacing w:line="440" w:lineRule="exact"/>
        <w:jc w:val="right"/>
        <w:rPr>
          <w:rFonts w:hint="eastAsia" w:ascii="仿宋_GB2312" w:hAnsi="宋体" w:eastAsia="仿宋_GB2312" w:cs="H-SS9-PK74820000032-Identity-H"/>
          <w:kern w:val="0"/>
          <w:szCs w:val="21"/>
          <w:highlight w:val="none"/>
        </w:rPr>
      </w:pPr>
      <w:r>
        <w:rPr>
          <w:rFonts w:hint="eastAsia" w:ascii="仿宋_GB2312" w:hAnsi="宋体" w:eastAsia="仿宋_GB2312" w:cs="SSJ-PK7482000002d-Identity-H"/>
          <w:kern w:val="0"/>
          <w:szCs w:val="21"/>
          <w:highlight w:val="none"/>
        </w:rPr>
        <w:t>招标人</w:t>
      </w:r>
      <w:r>
        <w:rPr>
          <w:rFonts w:hint="eastAsia" w:ascii="仿宋_GB2312" w:hAnsi="宋体" w:eastAsia="仿宋_GB2312" w:cs="H-SS9-PK74820000032-Identity-H"/>
          <w:kern w:val="0"/>
          <w:szCs w:val="21"/>
          <w:highlight w:val="none"/>
        </w:rPr>
        <w:t>：</w:t>
      </w:r>
      <w:r>
        <w:rPr>
          <w:rFonts w:hint="eastAsia" w:ascii="仿宋_GB2312" w:hAnsi="宋体" w:eastAsia="仿宋_GB2312"/>
          <w:sz w:val="28"/>
          <w:szCs w:val="28"/>
          <w:highlight w:val="none"/>
          <w:u w:val="single"/>
        </w:rPr>
        <w:t xml:space="preserve">      </w:t>
      </w:r>
      <w:r>
        <w:rPr>
          <w:rFonts w:hint="eastAsia" w:ascii="仿宋_GB2312" w:hAnsi="宋体" w:eastAsia="仿宋_GB2312" w:cs="H-SS9-PK74820000032-Identity-H"/>
          <w:kern w:val="0"/>
          <w:szCs w:val="21"/>
          <w:highlight w:val="none"/>
        </w:rPr>
        <w:t xml:space="preserve"> （</w:t>
      </w:r>
      <w:r>
        <w:rPr>
          <w:rFonts w:hint="eastAsia" w:ascii="仿宋_GB2312" w:hAnsi="宋体" w:eastAsia="仿宋_GB2312" w:cs="SSJ-PK7482000002d-Identity-H"/>
          <w:kern w:val="0"/>
          <w:szCs w:val="21"/>
          <w:highlight w:val="none"/>
        </w:rPr>
        <w:t>盖单位章</w:t>
      </w:r>
      <w:r>
        <w:rPr>
          <w:rFonts w:hint="eastAsia" w:ascii="仿宋_GB2312" w:hAnsi="宋体" w:eastAsia="仿宋_GB2312" w:cs="H-SS9-PK74820000032-Identity-H"/>
          <w:kern w:val="0"/>
          <w:szCs w:val="21"/>
          <w:highlight w:val="none"/>
        </w:rPr>
        <w:t>）</w:t>
      </w:r>
    </w:p>
    <w:p>
      <w:pPr>
        <w:autoSpaceDE w:val="0"/>
        <w:autoSpaceDN w:val="0"/>
        <w:adjustRightInd w:val="0"/>
        <w:spacing w:line="440" w:lineRule="exact"/>
        <w:jc w:val="right"/>
        <w:rPr>
          <w:rFonts w:hint="eastAsia" w:ascii="仿宋_GB2312" w:hAnsi="宋体" w:eastAsia="仿宋_GB2312" w:cs="SSJ-PK7482000002d-Identity-H"/>
          <w:kern w:val="0"/>
          <w:szCs w:val="21"/>
          <w:highlight w:val="none"/>
        </w:rPr>
      </w:pPr>
      <w:r>
        <w:rPr>
          <w:rFonts w:hint="eastAsia" w:ascii="仿宋_GB2312" w:hAnsi="宋体" w:eastAsia="仿宋_GB2312"/>
          <w:sz w:val="28"/>
          <w:szCs w:val="28"/>
          <w:highlight w:val="none"/>
          <w:u w:val="single"/>
        </w:rPr>
        <w:t xml:space="preserve">      </w:t>
      </w:r>
      <w:r>
        <w:rPr>
          <w:rFonts w:hint="eastAsia" w:ascii="仿宋_GB2312" w:hAnsi="宋体" w:eastAsia="仿宋_GB2312" w:cs="SSJ-PK7482000002d-Identity-H"/>
          <w:kern w:val="0"/>
          <w:szCs w:val="21"/>
          <w:highlight w:val="none"/>
        </w:rPr>
        <w:t>年</w:t>
      </w:r>
      <w:r>
        <w:rPr>
          <w:rFonts w:hint="eastAsia" w:ascii="仿宋_GB2312" w:hAnsi="宋体" w:eastAsia="仿宋_GB2312"/>
          <w:sz w:val="28"/>
          <w:szCs w:val="28"/>
          <w:highlight w:val="none"/>
          <w:u w:val="single"/>
        </w:rPr>
        <w:t xml:space="preserve">      </w:t>
      </w:r>
      <w:r>
        <w:rPr>
          <w:rFonts w:hint="eastAsia" w:ascii="仿宋_GB2312" w:hAnsi="宋体" w:eastAsia="仿宋_GB2312" w:cs="SSJ-PK7482000002d-Identity-H"/>
          <w:kern w:val="0"/>
          <w:szCs w:val="21"/>
          <w:highlight w:val="none"/>
        </w:rPr>
        <w:t>月</w:t>
      </w:r>
      <w:r>
        <w:rPr>
          <w:rFonts w:hint="eastAsia" w:ascii="仿宋_GB2312" w:hAnsi="宋体" w:eastAsia="仿宋_GB2312"/>
          <w:sz w:val="28"/>
          <w:szCs w:val="28"/>
          <w:highlight w:val="none"/>
          <w:u w:val="single"/>
        </w:rPr>
        <w:t xml:space="preserve">      </w:t>
      </w:r>
      <w:r>
        <w:rPr>
          <w:rFonts w:hint="eastAsia" w:ascii="仿宋_GB2312" w:hAnsi="宋体" w:eastAsia="仿宋_GB2312" w:cs="SSJ-PK7482000002d-Identity-H"/>
          <w:kern w:val="0"/>
          <w:szCs w:val="21"/>
          <w:highlight w:val="none"/>
        </w:rPr>
        <w:t>日</w:t>
      </w:r>
    </w:p>
    <w:p>
      <w:pPr>
        <w:autoSpaceDE w:val="0"/>
        <w:autoSpaceDN w:val="0"/>
        <w:adjustRightInd w:val="0"/>
        <w:spacing w:line="440" w:lineRule="exact"/>
        <w:jc w:val="right"/>
        <w:rPr>
          <w:rFonts w:hint="eastAsia" w:ascii="仿宋_GB2312" w:hAnsi="宋体" w:eastAsia="仿宋_GB2312" w:cs="SSJ-PK7482000002d-Identity-H"/>
          <w:kern w:val="0"/>
          <w:szCs w:val="21"/>
          <w:highlight w:val="none"/>
        </w:rPr>
      </w:pPr>
    </w:p>
    <w:p>
      <w:pPr>
        <w:rPr>
          <w:rFonts w:hint="eastAsia" w:ascii="仿宋_GB2312" w:hAnsi="宋体" w:eastAsia="仿宋_GB2312" w:cs="SSJ-PK7482000002d-Identity-H"/>
          <w:kern w:val="0"/>
          <w:szCs w:val="21"/>
          <w:highlight w:val="none"/>
        </w:rPr>
      </w:pPr>
    </w:p>
    <w:p>
      <w:pPr>
        <w:rPr>
          <w:rFonts w:ascii="_x000B__x000C_" w:hAnsi="_x000B__x000C_"/>
          <w:highlight w:val="none"/>
        </w:rPr>
      </w:pPr>
      <w:r>
        <w:rPr>
          <w:rFonts w:hint="eastAsia" w:ascii="仿宋_GB2312" w:hAnsi="宋体" w:eastAsia="仿宋_GB2312" w:cs="SSJ-PK7482000002d-Identity-H"/>
          <w:kern w:val="0"/>
          <w:szCs w:val="21"/>
          <w:highlight w:val="none"/>
        </w:rPr>
        <w:t>注</w:t>
      </w:r>
      <w:r>
        <w:rPr>
          <w:rFonts w:hint="eastAsia" w:ascii="仿宋_GB2312" w:hAnsi="宋体" w:eastAsia="仿宋_GB2312" w:cs="H-SS9-PK74820000032-Identity-H"/>
          <w:kern w:val="0"/>
          <w:szCs w:val="21"/>
          <w:highlight w:val="none"/>
        </w:rPr>
        <w:t>：</w:t>
      </w:r>
      <w:r>
        <w:rPr>
          <w:rFonts w:hint="eastAsia" w:ascii="仿宋_GB2312" w:hAnsi="宋体" w:eastAsia="仿宋_GB2312" w:cs="SSJ-PK7482000002d-Identity-H"/>
          <w:kern w:val="0"/>
          <w:szCs w:val="21"/>
          <w:highlight w:val="none"/>
        </w:rPr>
        <w:t>招标人对招标文件修改时</w:t>
      </w:r>
      <w:r>
        <w:rPr>
          <w:rFonts w:hint="eastAsia" w:ascii="仿宋_GB2312" w:hAnsi="宋体" w:eastAsia="仿宋_GB2312" w:cs="H-SS9-PK74820000032-Identity-H"/>
          <w:kern w:val="0"/>
          <w:szCs w:val="21"/>
          <w:highlight w:val="none"/>
        </w:rPr>
        <w:t>，</w:t>
      </w:r>
      <w:r>
        <w:rPr>
          <w:rFonts w:hint="eastAsia" w:ascii="仿宋_GB2312" w:hAnsi="宋体" w:eastAsia="仿宋_GB2312" w:cs="SSJ-PK7482000002d-Identity-H"/>
          <w:kern w:val="0"/>
          <w:szCs w:val="21"/>
          <w:highlight w:val="none"/>
        </w:rPr>
        <w:t>适用于本格式</w:t>
      </w:r>
      <w:r>
        <w:rPr>
          <w:rFonts w:hint="eastAsia" w:ascii="仿宋_GB2312" w:hAnsi="宋体" w:eastAsia="仿宋_GB2312" w:cs="H-SS9-PK74820000032-Identity-H"/>
          <w:kern w:val="0"/>
          <w:szCs w:val="21"/>
          <w:highlight w:val="none"/>
        </w:rPr>
        <w:t>。</w:t>
      </w:r>
    </w:p>
    <w:p>
      <w:pPr>
        <w:pStyle w:val="4"/>
        <w:ind w:firstLine="137"/>
        <w:rPr>
          <w:rFonts w:ascii="Times New Roman" w:hAnsi="Times New Roman"/>
          <w:color w:val="000000"/>
          <w:highlight w:val="none"/>
        </w:rPr>
      </w:pPr>
      <w:bookmarkStart w:id="477" w:name="_Toc1112860535"/>
      <w:r>
        <w:rPr>
          <w:rFonts w:ascii="Times New Roman" w:hAnsi="Times New Roman"/>
          <w:color w:val="000000"/>
          <w:highlight w:val="none"/>
        </w:rPr>
        <w:t>附件</w:t>
      </w:r>
      <w:r>
        <w:rPr>
          <w:rFonts w:hint="eastAsia" w:ascii="Times New Roman" w:hAnsi="Times New Roman"/>
          <w:color w:val="000000"/>
          <w:highlight w:val="none"/>
          <w:lang w:val="en-US" w:eastAsia="zh-CN"/>
        </w:rPr>
        <w:t>四</w:t>
      </w:r>
      <w:r>
        <w:rPr>
          <w:rFonts w:ascii="Times New Roman" w:hAnsi="Times New Roman"/>
          <w:color w:val="000000"/>
          <w:highlight w:val="none"/>
        </w:rPr>
        <w:t>：开标记录表</w:t>
      </w:r>
      <w:bookmarkEnd w:id="477"/>
    </w:p>
    <w:p>
      <w:pPr>
        <w:spacing w:line="440" w:lineRule="exact"/>
        <w:jc w:val="center"/>
        <w:rPr>
          <w:rFonts w:ascii="宋体" w:hAnsi="宋体"/>
          <w:sz w:val="28"/>
          <w:szCs w:val="24"/>
          <w:highlight w:val="none"/>
        </w:rPr>
      </w:pPr>
      <w:r>
        <w:rPr>
          <w:rFonts w:hint="eastAsia" w:ascii="黑体" w:hAnsi="黑体" w:eastAsia="黑体" w:cs="黑体"/>
          <w:sz w:val="28"/>
          <w:szCs w:val="24"/>
          <w:highlight w:val="none"/>
        </w:rPr>
        <w:t>开标记录表</w:t>
      </w:r>
    </w:p>
    <w:p>
      <w:pPr>
        <w:autoSpaceDE w:val="0"/>
        <w:autoSpaceDN w:val="0"/>
        <w:adjustRightInd w:val="0"/>
        <w:ind w:right="561" w:firstLine="420" w:firstLineChars="200"/>
        <w:rPr>
          <w:rFonts w:ascii="仿宋" w:hAnsi="仿宋" w:eastAsia="仿宋" w:cs="仿宋"/>
          <w:szCs w:val="24"/>
          <w:highlight w:val="none"/>
          <w:u w:val="single"/>
        </w:rPr>
      </w:pPr>
    </w:p>
    <w:p>
      <w:pPr>
        <w:autoSpaceDE w:val="0"/>
        <w:autoSpaceDN w:val="0"/>
        <w:adjustRightInd w:val="0"/>
        <w:ind w:right="561" w:firstLine="420" w:firstLineChars="200"/>
        <w:rPr>
          <w:rFonts w:cs="仿宋" w:asciiTheme="minorEastAsia" w:hAnsiTheme="minorEastAsia" w:eastAsiaTheme="minorEastAsia"/>
          <w:kern w:val="0"/>
          <w:szCs w:val="21"/>
          <w:highlight w:val="none"/>
        </w:rPr>
      </w:pPr>
      <w:r>
        <w:rPr>
          <w:rFonts w:cs="仿宋" w:asciiTheme="minorEastAsia" w:hAnsiTheme="minorEastAsia" w:eastAsiaTheme="minorEastAsia"/>
          <w:szCs w:val="21"/>
          <w:highlight w:val="none"/>
          <w:u w:val="single"/>
        </w:rPr>
        <w:t xml:space="preserve">       </w:t>
      </w:r>
      <w:r>
        <w:rPr>
          <w:rFonts w:hint="eastAsia" w:cs="仿宋" w:asciiTheme="minorEastAsia" w:hAnsiTheme="minorEastAsia" w:eastAsiaTheme="minorEastAsia"/>
          <w:szCs w:val="21"/>
          <w:highlight w:val="none"/>
        </w:rPr>
        <w:t>年</w:t>
      </w:r>
      <w:r>
        <w:rPr>
          <w:rFonts w:cs="仿宋" w:asciiTheme="minorEastAsia" w:hAnsiTheme="minorEastAsia" w:eastAsiaTheme="minorEastAsia"/>
          <w:szCs w:val="21"/>
          <w:highlight w:val="none"/>
          <w:u w:val="single"/>
        </w:rPr>
        <w:t xml:space="preserve">       </w:t>
      </w:r>
      <w:r>
        <w:rPr>
          <w:rFonts w:hint="eastAsia" w:cs="仿宋" w:asciiTheme="minorEastAsia" w:hAnsiTheme="minorEastAsia" w:eastAsiaTheme="minorEastAsia"/>
          <w:szCs w:val="21"/>
          <w:highlight w:val="none"/>
        </w:rPr>
        <w:t>月</w:t>
      </w:r>
      <w:r>
        <w:rPr>
          <w:rFonts w:cs="仿宋" w:asciiTheme="minorEastAsia" w:hAnsiTheme="minorEastAsia" w:eastAsiaTheme="minorEastAsia"/>
          <w:szCs w:val="21"/>
          <w:highlight w:val="none"/>
          <w:u w:val="single"/>
        </w:rPr>
        <w:t xml:space="preserve">       </w:t>
      </w:r>
      <w:r>
        <w:rPr>
          <w:rFonts w:hint="eastAsia" w:cs="仿宋" w:asciiTheme="minorEastAsia" w:hAnsiTheme="minorEastAsia" w:eastAsiaTheme="minorEastAsia"/>
          <w:szCs w:val="21"/>
          <w:highlight w:val="none"/>
        </w:rPr>
        <w:t>日</w:t>
      </w:r>
      <w:r>
        <w:rPr>
          <w:rFonts w:cs="仿宋" w:asciiTheme="minorEastAsia" w:hAnsiTheme="minorEastAsia" w:eastAsiaTheme="minorEastAsia"/>
          <w:szCs w:val="21"/>
          <w:highlight w:val="none"/>
        </w:rPr>
        <w:t xml:space="preserve">        </w:t>
      </w:r>
      <w:r>
        <w:rPr>
          <w:rFonts w:cs="仿宋" w:asciiTheme="minorEastAsia" w:hAnsiTheme="minorEastAsia" w:eastAsiaTheme="minorEastAsia"/>
          <w:sz w:val="21"/>
          <w:szCs w:val="21"/>
          <w:highlight w:val="none"/>
          <w:u w:val="single"/>
        </w:rPr>
        <w:t xml:space="preserve">      </w:t>
      </w:r>
      <w:r>
        <w:rPr>
          <w:rFonts w:hint="eastAsia" w:cs="仿宋" w:asciiTheme="minorEastAsia" w:hAnsiTheme="minorEastAsia" w:eastAsiaTheme="minorEastAsia"/>
          <w:kern w:val="0"/>
          <w:szCs w:val="21"/>
          <w:highlight w:val="none"/>
        </w:rPr>
        <w:t>（项目名称）</w:t>
      </w:r>
      <w:r>
        <w:rPr>
          <w:rFonts w:cs="仿宋" w:asciiTheme="minorEastAsia" w:hAnsiTheme="minorEastAsia" w:eastAsiaTheme="minorEastAsia"/>
          <w:sz w:val="21"/>
          <w:szCs w:val="21"/>
          <w:highlight w:val="none"/>
          <w:u w:val="single"/>
        </w:rPr>
        <w:t xml:space="preserve">      </w:t>
      </w:r>
      <w:r>
        <w:rPr>
          <w:rFonts w:hint="eastAsia" w:cs="仿宋" w:asciiTheme="minorEastAsia" w:hAnsiTheme="minorEastAsia" w:eastAsiaTheme="minorEastAsia"/>
          <w:kern w:val="0"/>
          <w:szCs w:val="21"/>
          <w:highlight w:val="none"/>
        </w:rPr>
        <w:t>（标段名称）</w:t>
      </w:r>
    </w:p>
    <w:p>
      <w:pPr>
        <w:autoSpaceDE w:val="0"/>
        <w:autoSpaceDN w:val="0"/>
        <w:adjustRightInd w:val="0"/>
        <w:ind w:right="560" w:firstLine="3465" w:firstLineChars="1650"/>
        <w:rPr>
          <w:rFonts w:cs="仿宋" w:asciiTheme="minorEastAsia" w:hAnsiTheme="minorEastAsia" w:eastAsiaTheme="minorEastAsia"/>
          <w:kern w:val="0"/>
          <w:szCs w:val="21"/>
          <w:highlight w:val="none"/>
        </w:rPr>
      </w:pPr>
    </w:p>
    <w:tbl>
      <w:tblPr>
        <w:tblStyle w:val="29"/>
        <w:tblW w:w="0" w:type="auto"/>
        <w:jc w:val="center"/>
        <w:tblLayout w:type="fixed"/>
        <w:tblCellMar>
          <w:top w:w="0" w:type="dxa"/>
          <w:left w:w="108" w:type="dxa"/>
          <w:bottom w:w="0" w:type="dxa"/>
          <w:right w:w="108" w:type="dxa"/>
        </w:tblCellMar>
      </w:tblPr>
      <w:tblGrid>
        <w:gridCol w:w="1134"/>
        <w:gridCol w:w="3825"/>
        <w:gridCol w:w="1630"/>
        <w:gridCol w:w="1630"/>
      </w:tblGrid>
      <w:tr>
        <w:tblPrEx>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cs="仿宋" w:asciiTheme="minorEastAsia" w:hAnsiTheme="minorEastAsia" w:eastAsiaTheme="minorEastAsia"/>
                <w:sz w:val="21"/>
                <w:szCs w:val="21"/>
                <w:highlight w:val="none"/>
              </w:rPr>
            </w:pPr>
            <w:r>
              <w:rPr>
                <w:rFonts w:hint="eastAsia" w:cs="仿宋" w:asciiTheme="minorEastAsia" w:hAnsiTheme="minorEastAsia" w:eastAsiaTheme="minorEastAsia"/>
                <w:sz w:val="21"/>
                <w:szCs w:val="21"/>
                <w:highlight w:val="none"/>
              </w:rPr>
              <w:t>序号</w:t>
            </w:r>
          </w:p>
        </w:tc>
        <w:tc>
          <w:tcPr>
            <w:tcW w:w="3825"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cs="仿宋" w:asciiTheme="minorEastAsia" w:hAnsiTheme="minorEastAsia" w:eastAsiaTheme="minorEastAsia"/>
                <w:sz w:val="21"/>
                <w:szCs w:val="21"/>
                <w:highlight w:val="none"/>
              </w:rPr>
            </w:pPr>
            <w:r>
              <w:rPr>
                <w:rFonts w:hint="eastAsia" w:cs="仿宋" w:asciiTheme="minorEastAsia" w:hAnsiTheme="minorEastAsia" w:eastAsiaTheme="minorEastAsia"/>
                <w:sz w:val="21"/>
                <w:szCs w:val="21"/>
                <w:highlight w:val="none"/>
              </w:rPr>
              <w:t>投标人名称</w:t>
            </w:r>
          </w:p>
        </w:tc>
        <w:tc>
          <w:tcPr>
            <w:tcW w:w="1630"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cs="仿宋" w:asciiTheme="minorEastAsia" w:hAnsiTheme="minorEastAsia" w:eastAsiaTheme="minorEastAsia"/>
                <w:sz w:val="21"/>
                <w:szCs w:val="21"/>
                <w:highlight w:val="none"/>
              </w:rPr>
            </w:pPr>
            <w:r>
              <w:rPr>
                <w:rFonts w:hint="eastAsia" w:cs="仿宋" w:asciiTheme="minorEastAsia" w:hAnsiTheme="minorEastAsia" w:eastAsiaTheme="minorEastAsia"/>
                <w:sz w:val="21"/>
                <w:szCs w:val="21"/>
                <w:highlight w:val="none"/>
              </w:rPr>
              <w:t>投标报价</w:t>
            </w:r>
          </w:p>
        </w:tc>
        <w:tc>
          <w:tcPr>
            <w:tcW w:w="1630"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cs="仿宋" w:asciiTheme="minorEastAsia" w:hAnsiTheme="minorEastAsia" w:eastAsiaTheme="minorEastAsia"/>
                <w:sz w:val="21"/>
                <w:szCs w:val="21"/>
                <w:highlight w:val="none"/>
              </w:rPr>
            </w:pPr>
            <w:r>
              <w:rPr>
                <w:rFonts w:hint="eastAsia" w:cs="仿宋" w:asciiTheme="minorEastAsia" w:hAnsiTheme="minorEastAsia" w:eastAsiaTheme="minorEastAsia"/>
                <w:sz w:val="21"/>
                <w:szCs w:val="21"/>
                <w:highlight w:val="none"/>
              </w:rPr>
              <w:t>备注</w:t>
            </w:r>
          </w:p>
        </w:tc>
      </w:tr>
      <w:tr>
        <w:tblPrEx>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c>
          <w:tcPr>
            <w:tcW w:w="3825"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r>
      <w:tr>
        <w:tblPrEx>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c>
          <w:tcPr>
            <w:tcW w:w="3825"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r>
      <w:tr>
        <w:trPr>
          <w:jc w:val="center"/>
        </w:trPr>
        <w:tc>
          <w:tcPr>
            <w:tcW w:w="1134"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c>
          <w:tcPr>
            <w:tcW w:w="3825"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r>
      <w:tr>
        <w:tblPrEx>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c>
          <w:tcPr>
            <w:tcW w:w="3825"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r>
      <w:tr>
        <w:tblPrEx>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c>
          <w:tcPr>
            <w:tcW w:w="3825"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r>
      <w:tr>
        <w:tblPrEx>
          <w:tblCellMar>
            <w:top w:w="0" w:type="dxa"/>
            <w:left w:w="108" w:type="dxa"/>
            <w:bottom w:w="0" w:type="dxa"/>
            <w:right w:w="108" w:type="dxa"/>
          </w:tblCellMar>
        </w:tblPrEx>
        <w:trPr>
          <w:trHeight w:val="502" w:hRule="atLeast"/>
          <w:jc w:val="center"/>
        </w:trPr>
        <w:tc>
          <w:tcPr>
            <w:tcW w:w="1134"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c>
          <w:tcPr>
            <w:tcW w:w="3825"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szCs w:val="21"/>
                <w:highlight w:val="none"/>
              </w:rPr>
            </w:pPr>
          </w:p>
        </w:tc>
      </w:tr>
    </w:tbl>
    <w:p>
      <w:pPr>
        <w:spacing w:line="620" w:lineRule="exact"/>
        <w:jc w:val="right"/>
        <w:rPr>
          <w:rFonts w:ascii="Times New Roman" w:hAnsi="Times New Roman"/>
          <w:color w:val="000000"/>
          <w:sz w:val="20"/>
          <w:highlight w:val="none"/>
        </w:rPr>
      </w:pPr>
      <w:r>
        <w:rPr>
          <w:rFonts w:hint="eastAsia" w:cs="仿宋_GB2312" w:asciiTheme="minorEastAsia" w:hAnsiTheme="minorEastAsia" w:eastAsiaTheme="minorEastAsia"/>
          <w:szCs w:val="21"/>
          <w:highlight w:val="none"/>
        </w:rPr>
        <w:t>开标时间：</w:t>
      </w:r>
    </w:p>
    <w:p>
      <w:pPr>
        <w:spacing w:line="440" w:lineRule="exact"/>
        <w:rPr>
          <w:rFonts w:ascii="Times New Roman" w:hAnsi="Times New Roman"/>
          <w:color w:val="000000"/>
          <w:highlight w:val="none"/>
        </w:rPr>
      </w:pPr>
      <w:r>
        <w:rPr>
          <w:rFonts w:ascii="Times New Roman" w:hAnsi="Times New Roman"/>
          <w:color w:val="000000"/>
          <w:highlight w:val="none"/>
        </w:rPr>
        <w:br w:type="page"/>
      </w:r>
    </w:p>
    <w:p>
      <w:pPr>
        <w:pStyle w:val="4"/>
        <w:ind w:firstLine="137"/>
        <w:rPr>
          <w:rFonts w:ascii="Times New Roman" w:hAnsi="Times New Roman"/>
          <w:color w:val="000000"/>
          <w:highlight w:val="none"/>
        </w:rPr>
      </w:pPr>
      <w:bookmarkStart w:id="478" w:name="_Toc1091800316"/>
      <w:r>
        <w:rPr>
          <w:rFonts w:ascii="Times New Roman" w:hAnsi="Times New Roman"/>
          <w:color w:val="000000"/>
          <w:highlight w:val="none"/>
        </w:rPr>
        <w:t>附件</w:t>
      </w:r>
      <w:r>
        <w:rPr>
          <w:rFonts w:hint="eastAsia" w:ascii="Times New Roman" w:hAnsi="Times New Roman"/>
          <w:color w:val="000000"/>
          <w:highlight w:val="none"/>
          <w:lang w:val="en-US" w:eastAsia="zh-CN"/>
        </w:rPr>
        <w:t>五</w:t>
      </w:r>
      <w:r>
        <w:rPr>
          <w:rFonts w:ascii="Times New Roman" w:hAnsi="Times New Roman"/>
          <w:color w:val="000000"/>
          <w:highlight w:val="none"/>
        </w:rPr>
        <w:t>：中标通知书</w:t>
      </w:r>
      <w:bookmarkEnd w:id="478"/>
    </w:p>
    <w:p>
      <w:pPr>
        <w:spacing w:line="400" w:lineRule="exact"/>
        <w:rPr>
          <w:rFonts w:ascii="Times New Roman" w:hAnsi="Times New Roman"/>
          <w:color w:val="000000"/>
          <w:highlight w:val="none"/>
        </w:rPr>
      </w:pPr>
    </w:p>
    <w:p>
      <w:pPr>
        <w:spacing w:line="400" w:lineRule="exact"/>
        <w:jc w:val="center"/>
        <w:rPr>
          <w:rFonts w:ascii="Times New Roman" w:hAnsi="Times New Roman" w:eastAsia="黑体"/>
          <w:color w:val="000000"/>
          <w:sz w:val="28"/>
          <w:highlight w:val="none"/>
        </w:rPr>
      </w:pPr>
      <w:r>
        <w:rPr>
          <w:rFonts w:ascii="Times New Roman" w:hAnsi="Times New Roman" w:eastAsia="黑体"/>
          <w:color w:val="000000"/>
          <w:sz w:val="28"/>
          <w:highlight w:val="none"/>
        </w:rPr>
        <w:t>中标通知书</w:t>
      </w:r>
    </w:p>
    <w:p>
      <w:pPr>
        <w:spacing w:line="400" w:lineRule="exact"/>
        <w:rPr>
          <w:rFonts w:ascii="Times New Roman" w:hAnsi="Times New Roman"/>
          <w:color w:val="000000"/>
          <w:highlight w:val="none"/>
        </w:rPr>
      </w:pPr>
    </w:p>
    <w:p>
      <w:pPr>
        <w:spacing w:line="440" w:lineRule="exact"/>
        <w:rPr>
          <w:rFonts w:ascii="Times New Roman" w:hAnsi="Times New Roman"/>
          <w:color w:val="000000"/>
          <w:highlight w:val="none"/>
        </w:rPr>
      </w:pPr>
      <w:r>
        <w:rPr>
          <w:rFonts w:ascii="Times New Roman" w:hAnsi="Times New Roman"/>
          <w:highlight w:val="none"/>
          <w:u w:val="single"/>
        </w:rPr>
        <w:t xml:space="preserve">                        </w:t>
      </w:r>
      <w:r>
        <w:rPr>
          <w:rFonts w:ascii="Times New Roman" w:hAnsi="Times New Roman"/>
          <w:color w:val="000000"/>
          <w:highlight w:val="none"/>
        </w:rPr>
        <w:t>（中标人名称）：</w:t>
      </w:r>
    </w:p>
    <w:p>
      <w:pPr>
        <w:spacing w:line="440" w:lineRule="exact"/>
        <w:rPr>
          <w:rFonts w:ascii="Times New Roman" w:hAnsi="Times New Roman"/>
          <w:color w:val="000000"/>
          <w:highlight w:val="none"/>
        </w:rPr>
      </w:pPr>
    </w:p>
    <w:p>
      <w:pPr>
        <w:spacing w:line="440" w:lineRule="exact"/>
        <w:rPr>
          <w:rFonts w:ascii="Times New Roman" w:hAnsi="Times New Roman"/>
          <w:color w:val="000000"/>
          <w:highlight w:val="none"/>
        </w:rPr>
      </w:pPr>
      <w:r>
        <w:rPr>
          <w:rFonts w:ascii="Times New Roman" w:hAnsi="Times New Roman"/>
          <w:color w:val="000000"/>
          <w:highlight w:val="none"/>
        </w:rPr>
        <w:t>　　你方于</w:t>
      </w:r>
      <w:r>
        <w:rPr>
          <w:rFonts w:ascii="Times New Roman" w:hAnsi="Times New Roman"/>
          <w:highlight w:val="none"/>
          <w:u w:val="single"/>
        </w:rPr>
        <w:t xml:space="preserve">                </w:t>
      </w:r>
      <w:r>
        <w:rPr>
          <w:rFonts w:ascii="Times New Roman" w:hAnsi="Times New Roman"/>
          <w:color w:val="000000"/>
          <w:highlight w:val="none"/>
        </w:rPr>
        <w:t>（投标日期）所递交的</w:t>
      </w:r>
      <w:r>
        <w:rPr>
          <w:rFonts w:ascii="Times New Roman" w:hAnsi="Times New Roman"/>
          <w:highlight w:val="none"/>
          <w:u w:val="single"/>
        </w:rPr>
        <w:t xml:space="preserve">                 </w:t>
      </w:r>
      <w:r>
        <w:rPr>
          <w:rFonts w:ascii="Times New Roman" w:hAnsi="Times New Roman"/>
          <w:color w:val="000000"/>
          <w:highlight w:val="none"/>
        </w:rPr>
        <w:t>（项目名称）材料采购招标</w:t>
      </w:r>
      <w:r>
        <w:rPr>
          <w:rFonts w:ascii="Times New Roman" w:hAnsi="Times New Roman"/>
          <w:highlight w:val="none"/>
        </w:rPr>
        <w:t>的投标文</w:t>
      </w:r>
      <w:r>
        <w:rPr>
          <w:rFonts w:ascii="Times New Roman" w:hAnsi="Times New Roman"/>
          <w:color w:val="000000"/>
          <w:highlight w:val="none"/>
        </w:rPr>
        <w:t>件已被我方接受，被确定为中标人。</w:t>
      </w:r>
    </w:p>
    <w:p>
      <w:pPr>
        <w:spacing w:line="440" w:lineRule="exact"/>
        <w:rPr>
          <w:rFonts w:ascii="Times New Roman" w:hAnsi="Times New Roman"/>
          <w:color w:val="000000"/>
          <w:highlight w:val="none"/>
        </w:rPr>
      </w:pPr>
      <w:r>
        <w:rPr>
          <w:rFonts w:ascii="Times New Roman" w:hAnsi="Times New Roman"/>
          <w:color w:val="000000"/>
          <w:highlight w:val="none"/>
        </w:rPr>
        <w:t>　　中标价：</w:t>
      </w:r>
      <w:r>
        <w:rPr>
          <w:rFonts w:ascii="Times New Roman" w:hAnsi="Times New Roman"/>
          <w:highlight w:val="none"/>
          <w:u w:val="single"/>
        </w:rPr>
        <w:t xml:space="preserve">                </w:t>
      </w:r>
      <w:r>
        <w:rPr>
          <w:rFonts w:ascii="Times New Roman" w:hAnsi="Times New Roman"/>
          <w:color w:val="000000"/>
          <w:highlight w:val="none"/>
        </w:rPr>
        <w:t>元。</w:t>
      </w:r>
    </w:p>
    <w:p>
      <w:pPr>
        <w:spacing w:line="440" w:lineRule="exact"/>
        <w:ind w:firstLine="420"/>
        <w:rPr>
          <w:rFonts w:ascii="Times New Roman" w:hAnsi="Times New Roman"/>
          <w:color w:val="000000"/>
          <w:highlight w:val="none"/>
        </w:rPr>
      </w:pPr>
      <w:r>
        <w:rPr>
          <w:rFonts w:ascii="Times New Roman" w:hAnsi="Times New Roman"/>
          <w:color w:val="000000"/>
          <w:highlight w:val="none"/>
        </w:rPr>
        <w:t>请你方在接到本通知书后的</w:t>
      </w:r>
      <w:r>
        <w:rPr>
          <w:rFonts w:ascii="Times New Roman" w:hAnsi="Times New Roman"/>
          <w:highlight w:val="none"/>
          <w:u w:val="single"/>
        </w:rPr>
        <w:t xml:space="preserve">        </w:t>
      </w:r>
      <w:r>
        <w:rPr>
          <w:rFonts w:ascii="Times New Roman" w:hAnsi="Times New Roman"/>
          <w:color w:val="000000"/>
          <w:highlight w:val="none"/>
        </w:rPr>
        <w:t>日内到</w:t>
      </w:r>
      <w:r>
        <w:rPr>
          <w:rFonts w:ascii="Times New Roman" w:hAnsi="Times New Roman"/>
          <w:color w:val="000000"/>
          <w:highlight w:val="none"/>
          <w:u w:val="single"/>
        </w:rPr>
        <w:t xml:space="preserve">                   </w:t>
      </w:r>
      <w:r>
        <w:rPr>
          <w:rFonts w:ascii="Times New Roman" w:hAnsi="Times New Roman"/>
          <w:color w:val="000000"/>
          <w:highlight w:val="none"/>
        </w:rPr>
        <w:t>（指定地点）与我方签订</w:t>
      </w:r>
      <w:r>
        <w:rPr>
          <w:rFonts w:ascii="Times New Roman" w:hAnsi="Times New Roman"/>
          <w:highlight w:val="none"/>
        </w:rPr>
        <w:t>材料采购</w:t>
      </w:r>
      <w:r>
        <w:rPr>
          <w:rFonts w:ascii="Times New Roman" w:hAnsi="Times New Roman"/>
          <w:color w:val="000000"/>
          <w:highlight w:val="none"/>
        </w:rPr>
        <w:t>合同，并按招标文件第二章“投标人须知”第7.6款规定向我方提交履约保证金。</w:t>
      </w:r>
    </w:p>
    <w:p>
      <w:pPr>
        <w:spacing w:line="440" w:lineRule="exact"/>
        <w:rPr>
          <w:rFonts w:ascii="Times New Roman" w:hAnsi="Times New Roman"/>
          <w:color w:val="000000"/>
          <w:highlight w:val="none"/>
        </w:rPr>
      </w:pPr>
      <w:r>
        <w:rPr>
          <w:rFonts w:ascii="Times New Roman" w:hAnsi="Times New Roman"/>
          <w:color w:val="000000"/>
          <w:highlight w:val="none"/>
        </w:rPr>
        <w:t>　　特此通知。</w:t>
      </w:r>
    </w:p>
    <w:p>
      <w:pPr>
        <w:spacing w:line="440" w:lineRule="exact"/>
        <w:rPr>
          <w:rFonts w:ascii="Times New Roman" w:hAnsi="Times New Roman"/>
          <w:color w:val="000000"/>
          <w:highlight w:val="none"/>
        </w:rPr>
      </w:pPr>
    </w:p>
    <w:p>
      <w:pPr>
        <w:spacing w:line="540" w:lineRule="exact"/>
        <w:ind w:firstLine="3238" w:firstLineChars="1542"/>
        <w:rPr>
          <w:rFonts w:ascii="Times New Roman" w:hAnsi="Times New Roman"/>
          <w:color w:val="000000"/>
          <w:highlight w:val="none"/>
        </w:rPr>
      </w:pPr>
      <w:r>
        <w:rPr>
          <w:rFonts w:ascii="Times New Roman" w:hAnsi="Times New Roman"/>
          <w:color w:val="000000"/>
          <w:highlight w:val="none"/>
        </w:rPr>
        <w:t>招标人：</w:t>
      </w:r>
      <w:r>
        <w:rPr>
          <w:rFonts w:ascii="Times New Roman" w:hAnsi="Times New Roman"/>
          <w:highlight w:val="none"/>
          <w:u w:val="single"/>
        </w:rPr>
        <w:t xml:space="preserve">                             </w:t>
      </w:r>
      <w:r>
        <w:rPr>
          <w:rFonts w:ascii="Times New Roman" w:hAnsi="Times New Roman"/>
          <w:color w:val="000000"/>
          <w:highlight w:val="none"/>
        </w:rPr>
        <w:t>（盖单位章）</w:t>
      </w:r>
      <w:bookmarkStart w:id="479" w:name="_Toc25205"/>
      <w:bookmarkStart w:id="480" w:name="_Toc152045582"/>
      <w:bookmarkStart w:id="481" w:name="_Toc352691528"/>
      <w:bookmarkStart w:id="482" w:name="_Toc144974549"/>
      <w:bookmarkStart w:id="483" w:name="_Toc247527607"/>
      <w:bookmarkStart w:id="484" w:name="_Toc300835003"/>
      <w:bookmarkStart w:id="485" w:name="_Toc152042359"/>
      <w:bookmarkStart w:id="486" w:name="_Toc384308267"/>
      <w:bookmarkStart w:id="487" w:name="_Toc361508641"/>
      <w:bookmarkStart w:id="488" w:name="_Toc247514006"/>
      <w:bookmarkStart w:id="489" w:name="_Toc369531572"/>
    </w:p>
    <w:p>
      <w:pPr>
        <w:spacing w:line="540" w:lineRule="exact"/>
        <w:ind w:firstLine="3238" w:firstLineChars="1542"/>
        <w:rPr>
          <w:rFonts w:ascii="Times New Roman" w:hAnsi="Times New Roman"/>
          <w:color w:val="000000"/>
          <w:highlight w:val="none"/>
        </w:rPr>
      </w:pPr>
      <w:r>
        <w:rPr>
          <w:rFonts w:ascii="Times New Roman" w:hAnsi="Times New Roman"/>
          <w:color w:val="000000"/>
          <w:highlight w:val="none"/>
        </w:rPr>
        <w:t>法定代表人（单位负责人：）</w:t>
      </w:r>
      <w:r>
        <w:rPr>
          <w:rFonts w:ascii="Times New Roman" w:hAnsi="Times New Roman"/>
          <w:highlight w:val="none"/>
          <w:u w:val="single"/>
        </w:rPr>
        <w:t xml:space="preserve">               </w:t>
      </w:r>
      <w:r>
        <w:rPr>
          <w:rFonts w:ascii="Times New Roman" w:hAnsi="Times New Roman"/>
          <w:color w:val="000000"/>
          <w:highlight w:val="none"/>
        </w:rPr>
        <w:t>（签字）</w:t>
      </w:r>
    </w:p>
    <w:bookmarkEnd w:id="479"/>
    <w:bookmarkEnd w:id="480"/>
    <w:bookmarkEnd w:id="481"/>
    <w:bookmarkEnd w:id="482"/>
    <w:bookmarkEnd w:id="483"/>
    <w:bookmarkEnd w:id="484"/>
    <w:bookmarkEnd w:id="485"/>
    <w:bookmarkEnd w:id="486"/>
    <w:bookmarkEnd w:id="487"/>
    <w:bookmarkEnd w:id="488"/>
    <w:bookmarkEnd w:id="489"/>
    <w:p>
      <w:pPr>
        <w:spacing w:line="540" w:lineRule="exact"/>
        <w:ind w:firstLine="3864" w:firstLineChars="1840"/>
        <w:jc w:val="center"/>
        <w:rPr>
          <w:rFonts w:ascii="Times New Roman" w:hAnsi="Times New Roman"/>
          <w:color w:val="000000"/>
          <w:highlight w:val="none"/>
        </w:rPr>
      </w:pPr>
      <w:r>
        <w:rPr>
          <w:rFonts w:ascii="Times New Roman" w:hAnsi="Times New Roman"/>
          <w:color w:val="000000"/>
          <w:highlight w:val="none"/>
          <w:u w:val="single"/>
        </w:rPr>
        <w:t xml:space="preserve">       </w:t>
      </w:r>
      <w:r>
        <w:rPr>
          <w:rFonts w:ascii="Times New Roman" w:hAnsi="Times New Roman"/>
          <w:color w:val="000000"/>
          <w:highlight w:val="none"/>
        </w:rPr>
        <w:t>年</w:t>
      </w:r>
      <w:r>
        <w:rPr>
          <w:rFonts w:ascii="Times New Roman" w:hAnsi="Times New Roman"/>
          <w:color w:val="000000"/>
          <w:highlight w:val="none"/>
          <w:u w:val="single"/>
        </w:rPr>
        <w:t xml:space="preserve">       </w:t>
      </w:r>
      <w:r>
        <w:rPr>
          <w:rFonts w:ascii="Times New Roman" w:hAnsi="Times New Roman"/>
          <w:color w:val="000000"/>
          <w:highlight w:val="none"/>
        </w:rPr>
        <w:t>月</w:t>
      </w:r>
      <w:r>
        <w:rPr>
          <w:rFonts w:ascii="Times New Roman" w:hAnsi="Times New Roman"/>
          <w:color w:val="000000"/>
          <w:highlight w:val="none"/>
          <w:u w:val="single"/>
        </w:rPr>
        <w:t xml:space="preserve">       </w:t>
      </w:r>
      <w:r>
        <w:rPr>
          <w:rFonts w:ascii="Times New Roman" w:hAnsi="Times New Roman"/>
          <w:color w:val="000000"/>
          <w:highlight w:val="none"/>
        </w:rPr>
        <w:t>日</w:t>
      </w:r>
    </w:p>
    <w:p>
      <w:pPr>
        <w:spacing w:line="400" w:lineRule="exact"/>
        <w:rPr>
          <w:rFonts w:ascii="Times New Roman" w:hAnsi="Times New Roman"/>
          <w:color w:val="000000"/>
          <w:highlight w:val="none"/>
        </w:rPr>
      </w:pPr>
    </w:p>
    <w:p>
      <w:pPr>
        <w:spacing w:line="400" w:lineRule="exact"/>
        <w:rPr>
          <w:rFonts w:ascii="Times New Roman" w:hAnsi="Times New Roman"/>
          <w:color w:val="000000"/>
          <w:highlight w:val="none"/>
        </w:rPr>
      </w:pPr>
      <w:r>
        <w:rPr>
          <w:rFonts w:ascii="Times New Roman" w:hAnsi="Times New Roman"/>
          <w:color w:val="000000"/>
          <w:highlight w:val="none"/>
        </w:rPr>
        <w:br w:type="page"/>
      </w:r>
    </w:p>
    <w:p>
      <w:pPr>
        <w:pStyle w:val="4"/>
        <w:ind w:firstLine="137"/>
        <w:rPr>
          <w:rFonts w:ascii="Times New Roman" w:hAnsi="Times New Roman"/>
          <w:color w:val="000000"/>
          <w:highlight w:val="none"/>
        </w:rPr>
      </w:pPr>
      <w:bookmarkStart w:id="490" w:name="_Toc285476583"/>
      <w:r>
        <w:rPr>
          <w:rFonts w:ascii="Times New Roman" w:hAnsi="Times New Roman"/>
          <w:color w:val="000000"/>
          <w:highlight w:val="none"/>
        </w:rPr>
        <w:t>附件</w:t>
      </w:r>
      <w:r>
        <w:rPr>
          <w:rFonts w:hint="eastAsia" w:ascii="Times New Roman" w:hAnsi="Times New Roman"/>
          <w:color w:val="000000"/>
          <w:highlight w:val="none"/>
          <w:lang w:val="en-US" w:eastAsia="zh-CN"/>
        </w:rPr>
        <w:t>六</w:t>
      </w:r>
      <w:r>
        <w:rPr>
          <w:rFonts w:ascii="Times New Roman" w:hAnsi="Times New Roman"/>
          <w:color w:val="000000"/>
          <w:highlight w:val="none"/>
        </w:rPr>
        <w:t>：中标结果通知书</w:t>
      </w:r>
      <w:bookmarkEnd w:id="490"/>
    </w:p>
    <w:p>
      <w:pPr>
        <w:spacing w:line="400" w:lineRule="exact"/>
        <w:rPr>
          <w:rFonts w:ascii="Times New Roman" w:hAnsi="Times New Roman"/>
          <w:color w:val="000000"/>
          <w:highlight w:val="none"/>
        </w:rPr>
      </w:pPr>
    </w:p>
    <w:p>
      <w:pPr>
        <w:spacing w:line="400" w:lineRule="exact"/>
        <w:jc w:val="center"/>
        <w:rPr>
          <w:rFonts w:ascii="Times New Roman" w:hAnsi="Times New Roman" w:eastAsia="黑体"/>
          <w:color w:val="000000"/>
          <w:sz w:val="28"/>
          <w:highlight w:val="none"/>
        </w:rPr>
      </w:pPr>
      <w:r>
        <w:rPr>
          <w:rFonts w:ascii="Times New Roman" w:hAnsi="Times New Roman" w:eastAsia="黑体"/>
          <w:color w:val="000000"/>
          <w:sz w:val="28"/>
          <w:highlight w:val="none"/>
        </w:rPr>
        <w:t>中标结果通知书</w:t>
      </w:r>
    </w:p>
    <w:p>
      <w:pPr>
        <w:spacing w:line="400" w:lineRule="exact"/>
        <w:rPr>
          <w:rFonts w:ascii="Times New Roman" w:hAnsi="Times New Roman"/>
          <w:color w:val="000000"/>
          <w:highlight w:val="none"/>
        </w:rPr>
      </w:pPr>
    </w:p>
    <w:p>
      <w:pPr>
        <w:spacing w:line="440" w:lineRule="exact"/>
        <w:rPr>
          <w:rFonts w:ascii="Times New Roman" w:hAnsi="Times New Roman"/>
          <w:color w:val="000000"/>
          <w:highlight w:val="none"/>
        </w:rPr>
      </w:pPr>
      <w:r>
        <w:rPr>
          <w:rFonts w:ascii="Times New Roman" w:hAnsi="Times New Roman"/>
          <w:color w:val="000000"/>
          <w:highlight w:val="none"/>
          <w:u w:val="single"/>
        </w:rPr>
        <w:t xml:space="preserve">                     </w:t>
      </w:r>
      <w:r>
        <w:rPr>
          <w:rFonts w:ascii="Times New Roman" w:hAnsi="Times New Roman"/>
          <w:color w:val="000000"/>
          <w:highlight w:val="none"/>
        </w:rPr>
        <w:t>（未中标人名称）：</w:t>
      </w:r>
    </w:p>
    <w:p>
      <w:pPr>
        <w:spacing w:line="440" w:lineRule="exact"/>
        <w:rPr>
          <w:rFonts w:ascii="Times New Roman" w:hAnsi="Times New Roman"/>
          <w:color w:val="000000"/>
          <w:highlight w:val="none"/>
        </w:rPr>
      </w:pPr>
    </w:p>
    <w:p>
      <w:pPr>
        <w:spacing w:line="440" w:lineRule="exact"/>
        <w:ind w:firstLine="420"/>
        <w:rPr>
          <w:rFonts w:ascii="Times New Roman" w:hAnsi="Times New Roman"/>
          <w:color w:val="000000"/>
          <w:highlight w:val="none"/>
        </w:rPr>
      </w:pPr>
      <w:r>
        <w:rPr>
          <w:rFonts w:ascii="Times New Roman" w:hAnsi="Times New Roman"/>
          <w:color w:val="000000"/>
          <w:highlight w:val="none"/>
        </w:rPr>
        <w:t>我方已接受</w:t>
      </w:r>
      <w:r>
        <w:rPr>
          <w:rFonts w:ascii="Times New Roman" w:hAnsi="Times New Roman"/>
          <w:color w:val="000000"/>
          <w:highlight w:val="none"/>
          <w:u w:val="single"/>
        </w:rPr>
        <w:t xml:space="preserve">          </w:t>
      </w:r>
      <w:r>
        <w:rPr>
          <w:rFonts w:ascii="Times New Roman" w:hAnsi="Times New Roman"/>
          <w:color w:val="000000"/>
          <w:highlight w:val="none"/>
        </w:rPr>
        <w:t>（中标人名称）于</w:t>
      </w:r>
      <w:r>
        <w:rPr>
          <w:rFonts w:ascii="Times New Roman" w:hAnsi="Times New Roman"/>
          <w:color w:val="000000"/>
          <w:highlight w:val="none"/>
          <w:u w:val="single"/>
        </w:rPr>
        <w:t xml:space="preserve">        </w:t>
      </w:r>
      <w:r>
        <w:rPr>
          <w:rFonts w:ascii="Times New Roman" w:hAnsi="Times New Roman"/>
          <w:color w:val="000000"/>
          <w:highlight w:val="none"/>
        </w:rPr>
        <w:t>（投标日期）所递交的</w:t>
      </w:r>
      <w:r>
        <w:rPr>
          <w:rFonts w:ascii="Times New Roman" w:hAnsi="Times New Roman"/>
          <w:highlight w:val="none"/>
          <w:u w:val="single"/>
        </w:rPr>
        <w:t xml:space="preserve">               </w:t>
      </w:r>
      <w:r>
        <w:rPr>
          <w:rFonts w:ascii="Times New Roman" w:hAnsi="Times New Roman"/>
          <w:color w:val="000000"/>
          <w:highlight w:val="none"/>
        </w:rPr>
        <w:t>（项目名称）材料采购招标</w:t>
      </w:r>
      <w:r>
        <w:rPr>
          <w:rFonts w:ascii="Times New Roman" w:hAnsi="Times New Roman"/>
          <w:highlight w:val="none"/>
        </w:rPr>
        <w:t>的投标文</w:t>
      </w:r>
      <w:r>
        <w:rPr>
          <w:rFonts w:ascii="Times New Roman" w:hAnsi="Times New Roman"/>
          <w:color w:val="000000"/>
          <w:highlight w:val="none"/>
        </w:rPr>
        <w:t>件，确定</w:t>
      </w:r>
      <w:r>
        <w:rPr>
          <w:rFonts w:ascii="Times New Roman" w:hAnsi="Times New Roman"/>
          <w:color w:val="000000"/>
          <w:highlight w:val="none"/>
          <w:u w:val="single"/>
        </w:rPr>
        <w:t xml:space="preserve">                     </w:t>
      </w:r>
      <w:r>
        <w:rPr>
          <w:rFonts w:ascii="Times New Roman" w:hAnsi="Times New Roman"/>
          <w:color w:val="000000"/>
          <w:highlight w:val="none"/>
        </w:rPr>
        <w:t>（中标人名称）为中标人。</w:t>
      </w:r>
    </w:p>
    <w:p>
      <w:pPr>
        <w:spacing w:line="440" w:lineRule="exact"/>
        <w:rPr>
          <w:rFonts w:ascii="Times New Roman" w:hAnsi="Times New Roman"/>
          <w:color w:val="000000"/>
          <w:highlight w:val="none"/>
        </w:rPr>
      </w:pPr>
      <w:r>
        <w:rPr>
          <w:rFonts w:ascii="Times New Roman" w:hAnsi="Times New Roman"/>
          <w:color w:val="000000"/>
          <w:highlight w:val="none"/>
        </w:rPr>
        <w:t>　　感谢你单位对招标项目的参与！</w:t>
      </w:r>
    </w:p>
    <w:p>
      <w:pPr>
        <w:spacing w:line="440" w:lineRule="exact"/>
        <w:rPr>
          <w:rFonts w:ascii="Times New Roman" w:hAnsi="Times New Roman"/>
          <w:color w:val="000000"/>
          <w:highlight w:val="none"/>
        </w:rPr>
      </w:pPr>
    </w:p>
    <w:p>
      <w:pPr>
        <w:spacing w:line="440" w:lineRule="exact"/>
        <w:rPr>
          <w:rFonts w:ascii="Times New Roman" w:hAnsi="Times New Roman"/>
          <w:color w:val="000000"/>
          <w:highlight w:val="none"/>
        </w:rPr>
      </w:pPr>
    </w:p>
    <w:p>
      <w:pPr>
        <w:spacing w:line="440" w:lineRule="exact"/>
        <w:rPr>
          <w:rFonts w:ascii="Times New Roman" w:hAnsi="Times New Roman"/>
          <w:color w:val="000000"/>
          <w:highlight w:val="none"/>
        </w:rPr>
      </w:pPr>
    </w:p>
    <w:p>
      <w:pPr>
        <w:spacing w:line="440" w:lineRule="exact"/>
        <w:ind w:firstLine="3045" w:firstLineChars="1450"/>
        <w:rPr>
          <w:rFonts w:ascii="Times New Roman" w:hAnsi="Times New Roman"/>
          <w:color w:val="000000"/>
          <w:highlight w:val="none"/>
        </w:rPr>
      </w:pPr>
      <w:r>
        <w:rPr>
          <w:rFonts w:ascii="Times New Roman" w:hAnsi="Times New Roman"/>
          <w:color w:val="000000"/>
          <w:highlight w:val="none"/>
        </w:rPr>
        <w:t>招标人：</w:t>
      </w:r>
      <w:r>
        <w:rPr>
          <w:rFonts w:ascii="Times New Roman" w:hAnsi="Times New Roman" w:eastAsia="黑体"/>
          <w:color w:val="000000"/>
          <w:sz w:val="28"/>
          <w:highlight w:val="none"/>
          <w:u w:val="single"/>
        </w:rPr>
        <w:t xml:space="preserve">               </w:t>
      </w:r>
      <w:r>
        <w:rPr>
          <w:rFonts w:ascii="Times New Roman" w:hAnsi="Times New Roman"/>
          <w:color w:val="000000"/>
          <w:highlight w:val="none"/>
        </w:rPr>
        <w:t>（盖单位章）</w:t>
      </w:r>
    </w:p>
    <w:p>
      <w:pPr>
        <w:spacing w:line="440" w:lineRule="exact"/>
        <w:rPr>
          <w:rFonts w:ascii="Times New Roman" w:hAnsi="Times New Roman"/>
          <w:color w:val="000000"/>
          <w:highlight w:val="none"/>
        </w:rPr>
      </w:pPr>
    </w:p>
    <w:p>
      <w:pPr>
        <w:spacing w:line="440" w:lineRule="exact"/>
        <w:jc w:val="right"/>
        <w:rPr>
          <w:rFonts w:ascii="Times New Roman" w:hAnsi="Times New Roman"/>
          <w:color w:val="000000"/>
          <w:highlight w:val="none"/>
        </w:rPr>
      </w:pPr>
      <w:r>
        <w:rPr>
          <w:rFonts w:ascii="Times New Roman" w:hAnsi="Times New Roman"/>
          <w:highlight w:val="none"/>
          <w:u w:val="single"/>
        </w:rPr>
        <w:t xml:space="preserve">      </w:t>
      </w:r>
      <w:r>
        <w:rPr>
          <w:rFonts w:ascii="Times New Roman" w:hAnsi="Times New Roman"/>
          <w:color w:val="000000"/>
          <w:highlight w:val="none"/>
        </w:rPr>
        <w:t>年</w:t>
      </w:r>
      <w:r>
        <w:rPr>
          <w:rFonts w:ascii="Times New Roman" w:hAnsi="Times New Roman"/>
          <w:highlight w:val="none"/>
          <w:u w:val="single"/>
        </w:rPr>
        <w:t xml:space="preserve">      </w:t>
      </w:r>
      <w:r>
        <w:rPr>
          <w:rFonts w:ascii="Times New Roman" w:hAnsi="Times New Roman"/>
          <w:color w:val="000000"/>
          <w:highlight w:val="none"/>
        </w:rPr>
        <w:t>月</w:t>
      </w:r>
      <w:r>
        <w:rPr>
          <w:rFonts w:ascii="Times New Roman" w:hAnsi="Times New Roman"/>
          <w:highlight w:val="none"/>
          <w:u w:val="single"/>
        </w:rPr>
        <w:t xml:space="preserve">      </w:t>
      </w:r>
      <w:r>
        <w:rPr>
          <w:rFonts w:ascii="Times New Roman" w:hAnsi="Times New Roman"/>
          <w:color w:val="000000"/>
          <w:highlight w:val="none"/>
        </w:rPr>
        <w:t>日</w:t>
      </w:r>
    </w:p>
    <w:p>
      <w:pPr>
        <w:spacing w:line="400" w:lineRule="exact"/>
        <w:rPr>
          <w:rFonts w:ascii="Times New Roman" w:hAnsi="Times New Roman"/>
          <w:color w:val="000000"/>
          <w:highlight w:val="none"/>
        </w:rPr>
      </w:pPr>
      <w:r>
        <w:rPr>
          <w:rFonts w:ascii="Times New Roman" w:hAnsi="Times New Roman"/>
          <w:color w:val="000000"/>
          <w:highlight w:val="none"/>
        </w:rPr>
        <w:br w:type="page"/>
      </w:r>
    </w:p>
    <w:p>
      <w:pPr>
        <w:pStyle w:val="2"/>
        <w:jc w:val="center"/>
        <w:rPr>
          <w:color w:val="000000"/>
          <w:highlight w:val="none"/>
        </w:rPr>
      </w:pPr>
      <w:bookmarkStart w:id="491" w:name="_Toc966064216"/>
      <w:bookmarkStart w:id="492" w:name="_Toc79054276"/>
      <w:r>
        <w:rPr>
          <w:color w:val="000000"/>
          <w:highlight w:val="none"/>
        </w:rPr>
        <w:t>第三章评标办法</w:t>
      </w:r>
      <w:r>
        <w:rPr>
          <w:highlight w:val="none"/>
        </w:rPr>
        <w:t>（综合评估法）</w:t>
      </w:r>
      <w:bookmarkEnd w:id="491"/>
      <w:bookmarkEnd w:id="492"/>
    </w:p>
    <w:p>
      <w:pPr>
        <w:pStyle w:val="3"/>
        <w:jc w:val="center"/>
        <w:rPr>
          <w:rFonts w:ascii="Times New Roman" w:hAnsi="Times New Roman"/>
          <w:color w:val="000000"/>
          <w:highlight w:val="none"/>
        </w:rPr>
      </w:pPr>
      <w:bookmarkStart w:id="493" w:name="_Toc982159687"/>
      <w:r>
        <w:rPr>
          <w:rFonts w:ascii="Times New Roman" w:hAnsi="Times New Roman"/>
          <w:color w:val="000000"/>
          <w:highlight w:val="none"/>
        </w:rPr>
        <w:t>评标办法前附表</w:t>
      </w:r>
      <w:bookmarkEnd w:id="493"/>
    </w:p>
    <w:tbl>
      <w:tblPr>
        <w:tblStyle w:val="29"/>
        <w:tblW w:w="8505"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
        <w:gridCol w:w="1124"/>
        <w:gridCol w:w="1662"/>
        <w:gridCol w:w="481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gridSpan w:val="2"/>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b/>
                <w:color w:val="000000"/>
                <w:highlight w:val="none"/>
              </w:rPr>
            </w:pPr>
            <w:r>
              <w:rPr>
                <w:rFonts w:ascii="Times New Roman" w:hAnsi="Times New Roman"/>
                <w:b/>
                <w:color w:val="000000"/>
                <w:highlight w:val="none"/>
              </w:rPr>
              <w:t>条款号</w:t>
            </w: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b/>
                <w:color w:val="000000"/>
                <w:highlight w:val="none"/>
              </w:rPr>
            </w:pPr>
            <w:r>
              <w:rPr>
                <w:rFonts w:ascii="Times New Roman" w:hAnsi="Times New Roman"/>
                <w:b/>
                <w:color w:val="000000"/>
                <w:highlight w:val="none"/>
              </w:rPr>
              <w:t>评审因素</w:t>
            </w:r>
          </w:p>
        </w:tc>
        <w:tc>
          <w:tcPr>
            <w:tcW w:w="481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b/>
                <w:color w:val="000000"/>
                <w:highlight w:val="none"/>
              </w:rPr>
            </w:pPr>
            <w:r>
              <w:rPr>
                <w:rFonts w:ascii="Times New Roman" w:hAnsi="Times New Roman"/>
                <w:b/>
                <w:color w:val="000000"/>
                <w:highlight w:val="none"/>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6" w:hRule="atLeast"/>
        </w:trPr>
        <w:tc>
          <w:tcPr>
            <w:tcW w:w="90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1</w:t>
            </w:r>
          </w:p>
        </w:tc>
        <w:tc>
          <w:tcPr>
            <w:tcW w:w="112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评标方法</w:t>
            </w: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中标候选人排序方法</w:t>
            </w:r>
          </w:p>
        </w:tc>
        <w:tc>
          <w:tcPr>
            <w:tcW w:w="4819" w:type="dxa"/>
            <w:tcBorders>
              <w:top w:val="single" w:color="auto" w:sz="4" w:space="0"/>
              <w:left w:val="single" w:color="auto" w:sz="4" w:space="0"/>
              <w:bottom w:val="single" w:color="auto" w:sz="4" w:space="0"/>
              <w:right w:val="single" w:color="auto" w:sz="4" w:space="0"/>
            </w:tcBorders>
          </w:tcPr>
          <w:p>
            <w:pPr>
              <w:spacing w:line="440" w:lineRule="exact"/>
              <w:jc w:val="center"/>
              <w:rPr>
                <w:rFonts w:ascii="Times New Roman" w:hAnsi="Times New Roman"/>
                <w:color w:val="000000"/>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6" w:hRule="atLeast"/>
        </w:trPr>
        <w:tc>
          <w:tcPr>
            <w:tcW w:w="8505" w:type="dxa"/>
            <w:gridSpan w:val="4"/>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hint="eastAsia" w:ascii="仿宋_GB2312" w:hAnsi="仿宋_GB2312" w:eastAsia="仿宋_GB2312" w:cs="仿宋_GB2312"/>
                <w:b/>
                <w:szCs w:val="21"/>
                <w:highlight w:val="none"/>
              </w:rPr>
              <w:t>商务标初步评审标准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restart"/>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2.1.1</w:t>
            </w:r>
          </w:p>
        </w:tc>
        <w:tc>
          <w:tcPr>
            <w:tcW w:w="1124" w:type="dxa"/>
            <w:vMerge w:val="restart"/>
            <w:tcBorders>
              <w:top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形式评审标准</w:t>
            </w: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投标人名称</w:t>
            </w:r>
          </w:p>
        </w:tc>
        <w:tc>
          <w:tcPr>
            <w:tcW w:w="4819"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与营业执照</w:t>
            </w:r>
            <w:r>
              <w:rPr>
                <w:rFonts w:hint="eastAsia" w:ascii="Times New Roman" w:hAnsi="Times New Roman"/>
                <w:color w:val="000000"/>
                <w:highlight w:val="none"/>
              </w:rPr>
              <w:t>（</w:t>
            </w:r>
            <w:r>
              <w:rPr>
                <w:rFonts w:ascii="Times New Roman" w:hAnsi="Times New Roman"/>
                <w:color w:val="000000"/>
                <w:highlight w:val="none"/>
              </w:rPr>
              <w:t>事业单位法人证书</w:t>
            </w:r>
            <w:r>
              <w:rPr>
                <w:rFonts w:hint="eastAsia" w:ascii="Times New Roman" w:hAnsi="Times New Roman"/>
                <w:color w:val="000000"/>
                <w:highlight w:val="none"/>
              </w:rPr>
              <w:t>）</w:t>
            </w:r>
            <w:r>
              <w:rPr>
                <w:rFonts w:ascii="Times New Roman" w:hAnsi="Times New Roman"/>
                <w:color w:val="000000"/>
                <w:highlight w:val="none"/>
              </w:rPr>
              <w:t>、资质证书一致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continue"/>
            <w:tcBorders>
              <w:top w:val="nil"/>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right w:val="single" w:color="auto" w:sz="4" w:space="0"/>
            </w:tcBorders>
            <w:vAlign w:val="center"/>
          </w:tcPr>
          <w:p>
            <w:pPr>
              <w:rPr>
                <w:rFonts w:ascii="Times New Roman" w:hAnsi="Times New Roman"/>
                <w:highlight w:val="none"/>
              </w:rPr>
            </w:pP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投标函签字盖章</w:t>
            </w:r>
          </w:p>
        </w:tc>
        <w:tc>
          <w:tcPr>
            <w:tcW w:w="4819"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有法定代表人（单</w:t>
            </w:r>
            <w:bookmarkStart w:id="494" w:name="_Toc247527609"/>
            <w:bookmarkStart w:id="495" w:name="_Toc352691530"/>
            <w:bookmarkStart w:id="496" w:name="_Toc300835005"/>
            <w:bookmarkStart w:id="497" w:name="_Toc6546"/>
            <w:bookmarkStart w:id="498" w:name="_Toc152045584"/>
            <w:bookmarkStart w:id="499" w:name="_Toc384308269"/>
            <w:bookmarkStart w:id="500" w:name="_Toc144974551"/>
            <w:bookmarkStart w:id="501" w:name="_Toc369531574"/>
            <w:bookmarkStart w:id="502" w:name="_Toc247514008"/>
            <w:bookmarkStart w:id="503" w:name="_Toc152042361"/>
            <w:bookmarkStart w:id="504" w:name="_Toc361508643"/>
            <w:r>
              <w:rPr>
                <w:rFonts w:ascii="Times New Roman" w:hAnsi="Times New Roman"/>
                <w:color w:val="000000"/>
                <w:highlight w:val="none"/>
              </w:rPr>
              <w:t>位负责人）或其委托</w:t>
            </w:r>
            <w:bookmarkEnd w:id="494"/>
            <w:bookmarkEnd w:id="495"/>
            <w:bookmarkEnd w:id="496"/>
            <w:bookmarkEnd w:id="497"/>
            <w:bookmarkEnd w:id="498"/>
            <w:bookmarkEnd w:id="499"/>
            <w:bookmarkEnd w:id="500"/>
            <w:bookmarkEnd w:id="501"/>
            <w:bookmarkEnd w:id="502"/>
            <w:bookmarkEnd w:id="503"/>
            <w:bookmarkEnd w:id="504"/>
            <w:r>
              <w:rPr>
                <w:rFonts w:ascii="Times New Roman" w:hAnsi="Times New Roman"/>
                <w:color w:val="000000"/>
                <w:highlight w:val="none"/>
              </w:rPr>
              <w:t>代理人签字或加盖单位章。由法定代表人（单位负责人）签字的，应附法定代表人（单位负责人）身份证明，由代理人签字的，应附授权委托书，身份证明或授权委托书应符合第六章“投标文件格式”的规定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continue"/>
            <w:tcBorders>
              <w:top w:val="nil"/>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right w:val="single" w:color="auto" w:sz="4" w:space="0"/>
            </w:tcBorders>
            <w:vAlign w:val="center"/>
          </w:tcPr>
          <w:p>
            <w:pPr>
              <w:rPr>
                <w:rFonts w:ascii="Times New Roman" w:hAnsi="Times New Roman"/>
                <w:highlight w:val="none"/>
              </w:rPr>
            </w:pP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联合体投标人</w:t>
            </w:r>
          </w:p>
        </w:tc>
        <w:tc>
          <w:tcPr>
            <w:tcW w:w="4819"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提交符合招标文件要求的联合体协议书，明确各方承担连带责任，并明确联合体牵头人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continue"/>
            <w:tcBorders>
              <w:top w:val="nil"/>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right w:val="single" w:color="auto" w:sz="4" w:space="0"/>
            </w:tcBorders>
            <w:vAlign w:val="center"/>
          </w:tcPr>
          <w:p>
            <w:pPr>
              <w:rPr>
                <w:rFonts w:ascii="Times New Roman" w:hAnsi="Times New Roman"/>
                <w:highlight w:val="none"/>
              </w:rPr>
            </w:pP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hint="eastAsia" w:ascii="Times New Roman" w:hAnsi="Times New Roman"/>
                <w:color w:val="000000"/>
                <w:highlight w:val="none"/>
              </w:rPr>
              <w:t>报价唯一性</w:t>
            </w:r>
          </w:p>
        </w:tc>
        <w:tc>
          <w:tcPr>
            <w:tcW w:w="4819"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hint="eastAsia" w:ascii="Times New Roman" w:hAnsi="Times New Roman"/>
                <w:color w:val="000000"/>
                <w:highlight w:val="none"/>
              </w:rPr>
              <w:t>同一投标人不得提交两个以上不同的投标文件或者投标报价，但招标文件要求提交备选投标方案的除外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continue"/>
            <w:tcBorders>
              <w:top w:val="nil"/>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right w:val="single" w:color="auto" w:sz="4" w:space="0"/>
            </w:tcBorders>
            <w:vAlign w:val="center"/>
          </w:tcPr>
          <w:p>
            <w:pPr>
              <w:rPr>
                <w:rFonts w:ascii="Times New Roman" w:hAnsi="Times New Roman"/>
                <w:highlight w:val="none"/>
              </w:rPr>
            </w:pP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hint="eastAsia" w:ascii="Times New Roman" w:hAnsi="Times New Roman"/>
                <w:color w:val="000000"/>
                <w:highlight w:val="none"/>
              </w:rPr>
              <w:t>未出现异常情形</w:t>
            </w:r>
          </w:p>
        </w:tc>
        <w:tc>
          <w:tcPr>
            <w:tcW w:w="4819"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hint="eastAsia" w:ascii="Times New Roman" w:hAnsi="Times New Roman"/>
                <w:color w:val="000000"/>
                <w:highlight w:val="none"/>
              </w:rPr>
              <w:t>未出现不同投标人文件制作机器码或文件创建标识码相同的情形</w:t>
            </w:r>
            <w:r>
              <w:rPr>
                <w:rFonts w:hint="eastAsia" w:ascii="仿宋_GB2312" w:hAnsi="仿宋" w:eastAsia="仿宋_GB2312" w:cs="仿宋"/>
                <w:bCs/>
                <w:i w:val="0"/>
                <w:iCs w:val="0"/>
                <w:sz w:val="18"/>
                <w:szCs w:val="18"/>
                <w:highlight w:val="none"/>
                <w:lang w:eastAsia="zh-CN"/>
              </w:rPr>
              <w:t>；</w:t>
            </w:r>
            <w:r>
              <w:rPr>
                <w:rFonts w:hint="eastAsia" w:ascii="仿宋_GB2312" w:hAnsi="仿宋_GB2312" w:eastAsia="仿宋_GB2312" w:cs="仿宋_GB2312"/>
                <w:i w:val="0"/>
                <w:iCs w:val="0"/>
                <w:sz w:val="18"/>
                <w:szCs w:val="18"/>
                <w:highlight w:val="none"/>
                <w:lang w:eastAsia="zh-CN"/>
              </w:rPr>
              <w:t>未出现</w:t>
            </w:r>
            <w:r>
              <w:rPr>
                <w:rFonts w:hint="eastAsia" w:ascii="仿宋_GB2312" w:hAnsi="仿宋_GB2312" w:eastAsia="仿宋_GB2312" w:cs="仿宋_GB2312"/>
                <w:i w:val="0"/>
                <w:caps w:val="0"/>
                <w:spacing w:val="0"/>
                <w:kern w:val="2"/>
                <w:sz w:val="18"/>
                <w:szCs w:val="18"/>
                <w:highlight w:val="none"/>
                <w:lang w:val="en-US" w:eastAsia="zh-CN" w:bidi="ar"/>
              </w:rPr>
              <w:t>不同投标人投标文件制作及上传的计算机网卡MAC 地址，CPUid、硬盘序列号、主板特征码、操作系统特征码等硬件信息中三条以上相同的情形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3" w:hRule="atLeast"/>
        </w:trPr>
        <w:tc>
          <w:tcPr>
            <w:tcW w:w="900" w:type="dxa"/>
            <w:vMerge w:val="continue"/>
            <w:tcBorders>
              <w:top w:val="nil"/>
              <w:bottom w:val="single" w:color="auto" w:sz="4" w:space="0"/>
              <w:right w:val="single" w:color="auto" w:sz="4" w:space="0"/>
            </w:tcBorders>
          </w:tcPr>
          <w:p>
            <w:pPr>
              <w:rPr>
                <w:rFonts w:ascii="Times New Roman" w:hAnsi="Times New Roman"/>
                <w:highlight w:val="none"/>
              </w:rPr>
            </w:pPr>
          </w:p>
        </w:tc>
        <w:tc>
          <w:tcPr>
            <w:tcW w:w="1124" w:type="dxa"/>
            <w:vMerge w:val="continue"/>
            <w:tcBorders>
              <w:left w:val="single" w:color="auto" w:sz="4" w:space="0"/>
              <w:right w:val="single" w:color="auto" w:sz="4" w:space="0"/>
            </w:tcBorders>
          </w:tcPr>
          <w:p>
            <w:pPr>
              <w:rPr>
                <w:rFonts w:ascii="Times New Roman" w:hAnsi="Times New Roman"/>
                <w:highlight w:val="none"/>
              </w:rPr>
            </w:pPr>
          </w:p>
        </w:tc>
        <w:tc>
          <w:tcPr>
            <w:tcW w:w="1662" w:type="dxa"/>
            <w:tcBorders>
              <w:top w:val="single" w:color="auto" w:sz="4" w:space="0"/>
              <w:left w:val="single" w:color="auto" w:sz="4" w:space="0"/>
              <w:right w:val="single" w:color="auto" w:sz="4" w:space="0"/>
            </w:tcBorders>
          </w:tcPr>
          <w:p>
            <w:pPr>
              <w:spacing w:line="440" w:lineRule="exact"/>
              <w:jc w:val="center"/>
              <w:rPr>
                <w:rFonts w:ascii="Times New Roman" w:hAnsi="Times New Roman"/>
                <w:color w:val="000000"/>
                <w:highlight w:val="none"/>
              </w:rPr>
            </w:pPr>
            <w:r>
              <w:rPr>
                <w:rFonts w:ascii="Times New Roman" w:hAnsi="Times New Roman"/>
                <w:color w:val="000000"/>
                <w:highlight w:val="none"/>
              </w:rPr>
              <w:t>……</w:t>
            </w:r>
          </w:p>
        </w:tc>
        <w:tc>
          <w:tcPr>
            <w:tcW w:w="4819" w:type="dxa"/>
            <w:tcBorders>
              <w:lef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restart"/>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2.1.2</w:t>
            </w:r>
          </w:p>
        </w:tc>
        <w:tc>
          <w:tcPr>
            <w:tcW w:w="1124" w:type="dxa"/>
            <w:vMerge w:val="restar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资格评审标准</w:t>
            </w: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营业执照</w:t>
            </w:r>
            <w:r>
              <w:rPr>
                <w:rFonts w:hint="eastAsia" w:ascii="Times New Roman" w:hAnsi="Times New Roman"/>
                <w:color w:val="000000"/>
                <w:highlight w:val="none"/>
              </w:rPr>
              <w:t>（</w:t>
            </w:r>
            <w:r>
              <w:rPr>
                <w:rFonts w:ascii="Times New Roman" w:hAnsi="Times New Roman"/>
                <w:color w:val="000000"/>
                <w:highlight w:val="none"/>
              </w:rPr>
              <w:t>事业单位法人证书</w:t>
            </w:r>
            <w:r>
              <w:rPr>
                <w:rFonts w:hint="eastAsia" w:ascii="Times New Roman" w:hAnsi="Times New Roman"/>
                <w:color w:val="000000"/>
                <w:highlight w:val="none"/>
              </w:rPr>
              <w:t>）</w:t>
            </w:r>
            <w:r>
              <w:rPr>
                <w:rFonts w:ascii="Times New Roman" w:hAnsi="Times New Roman"/>
                <w:color w:val="000000"/>
                <w:highlight w:val="none"/>
              </w:rPr>
              <w:t>和组织机构代码证</w:t>
            </w:r>
          </w:p>
        </w:tc>
        <w:tc>
          <w:tcPr>
            <w:tcW w:w="4819"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符合第二章“投标人须知”第3.5.1项规定，具备有效的营业执照</w:t>
            </w:r>
            <w:r>
              <w:rPr>
                <w:rFonts w:hint="eastAsia" w:ascii="Times New Roman" w:hAnsi="Times New Roman"/>
                <w:color w:val="000000"/>
                <w:highlight w:val="none"/>
              </w:rPr>
              <w:t>（</w:t>
            </w:r>
            <w:r>
              <w:rPr>
                <w:rFonts w:ascii="Times New Roman" w:hAnsi="Times New Roman"/>
                <w:color w:val="000000"/>
                <w:highlight w:val="none"/>
              </w:rPr>
              <w:t>事业单位法人证书</w:t>
            </w:r>
            <w:r>
              <w:rPr>
                <w:rFonts w:hint="eastAsia" w:ascii="Times New Roman" w:hAnsi="Times New Roman"/>
                <w:color w:val="000000"/>
                <w:highlight w:val="none"/>
              </w:rPr>
              <w:t>）</w:t>
            </w:r>
            <w:r>
              <w:rPr>
                <w:rFonts w:ascii="Times New Roman" w:hAnsi="Times New Roman"/>
                <w:color w:val="000000"/>
                <w:highlight w:val="none"/>
              </w:rPr>
              <w:t>和组织机构代码证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资质要求</w:t>
            </w:r>
          </w:p>
        </w:tc>
        <w:tc>
          <w:tcPr>
            <w:tcW w:w="4819"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财务要求</w:t>
            </w:r>
          </w:p>
        </w:tc>
        <w:tc>
          <w:tcPr>
            <w:tcW w:w="4819"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业绩要求</w:t>
            </w:r>
          </w:p>
        </w:tc>
        <w:tc>
          <w:tcPr>
            <w:tcW w:w="4819" w:type="dxa"/>
            <w:tcBorders>
              <w:top w:val="single" w:color="auto" w:sz="4" w:space="0"/>
              <w:left w:val="single" w:color="auto" w:sz="4" w:space="0"/>
              <w:bottom w:val="single" w:color="auto" w:sz="4" w:space="0"/>
              <w:right w:val="single" w:color="auto" w:sz="4" w:space="0"/>
            </w:tcBorders>
          </w:tcPr>
          <w:p>
            <w:pPr>
              <w:spacing w:line="440" w:lineRule="exact"/>
              <w:rPr>
                <w:rFonts w:ascii="Times New Roman" w:hAnsi="Times New Roman"/>
                <w:color w:val="000000"/>
                <w:highlight w:val="none"/>
              </w:rPr>
            </w:pPr>
            <w:r>
              <w:rPr>
                <w:rFonts w:ascii="Times New Roman" w:hAnsi="Times New Roman"/>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信誉要求</w:t>
            </w:r>
          </w:p>
        </w:tc>
        <w:tc>
          <w:tcPr>
            <w:tcW w:w="4819" w:type="dxa"/>
            <w:tcBorders>
              <w:top w:val="single" w:color="auto" w:sz="4" w:space="0"/>
              <w:left w:val="single" w:color="auto" w:sz="4" w:space="0"/>
              <w:bottom w:val="single" w:color="auto" w:sz="4" w:space="0"/>
              <w:right w:val="single" w:color="auto" w:sz="4" w:space="0"/>
            </w:tcBorders>
          </w:tcPr>
          <w:p>
            <w:pPr>
              <w:spacing w:line="440" w:lineRule="exact"/>
              <w:rPr>
                <w:rFonts w:ascii="Times New Roman" w:hAnsi="Times New Roman"/>
                <w:color w:val="000000"/>
                <w:highlight w:val="none"/>
              </w:rPr>
            </w:pPr>
            <w:r>
              <w:rPr>
                <w:rFonts w:ascii="Times New Roman" w:hAnsi="Times New Roman"/>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其他要求</w:t>
            </w:r>
          </w:p>
        </w:tc>
        <w:tc>
          <w:tcPr>
            <w:tcW w:w="4819"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联合体投标人</w:t>
            </w:r>
          </w:p>
        </w:tc>
        <w:tc>
          <w:tcPr>
            <w:tcW w:w="4819"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符合第二章“投标人须知”第1.4.2项规定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不存在禁止投标的情形</w:t>
            </w:r>
          </w:p>
        </w:tc>
        <w:tc>
          <w:tcPr>
            <w:tcW w:w="4819"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不存在第二章“投标人须知”第1.4.3项规定的任何一种情形</w:t>
            </w:r>
            <w:r>
              <w:rPr>
                <w:rFonts w:hint="eastAsia" w:ascii="Times New Roman" w:hAnsi="Times New Roman"/>
                <w:color w:val="000000"/>
                <w:highlight w:val="none"/>
              </w:rPr>
              <w:t>。投标人在投标函中承诺，不需要提供相关证明。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投标材料制造商的资质要求（如有）</w:t>
            </w:r>
          </w:p>
        </w:tc>
        <w:tc>
          <w:tcPr>
            <w:tcW w:w="4819"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投标材料的业绩要求（如有）</w:t>
            </w:r>
          </w:p>
        </w:tc>
        <w:tc>
          <w:tcPr>
            <w:tcW w:w="4819"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w:t>
            </w:r>
          </w:p>
        </w:tc>
        <w:tc>
          <w:tcPr>
            <w:tcW w:w="4819"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restart"/>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2.1.3</w:t>
            </w:r>
          </w:p>
        </w:tc>
        <w:tc>
          <w:tcPr>
            <w:tcW w:w="1124" w:type="dxa"/>
            <w:vMerge w:val="restar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响应性评审标准</w:t>
            </w: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投标报价</w:t>
            </w:r>
          </w:p>
        </w:tc>
        <w:tc>
          <w:tcPr>
            <w:tcW w:w="4819" w:type="dxa"/>
            <w:tcBorders>
              <w:top w:val="single" w:color="auto" w:sz="4" w:space="0"/>
              <w:left w:val="single" w:color="auto" w:sz="4" w:space="0"/>
              <w:bottom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符合第二章“投标人须知”第3.2款规定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continue"/>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投标内容</w:t>
            </w:r>
          </w:p>
        </w:tc>
        <w:tc>
          <w:tcPr>
            <w:tcW w:w="4819" w:type="dxa"/>
            <w:tcBorders>
              <w:top w:val="single" w:color="auto" w:sz="4" w:space="0"/>
              <w:left w:val="single" w:color="auto" w:sz="4" w:space="0"/>
              <w:bottom w:val="single" w:color="auto" w:sz="4" w:space="0"/>
            </w:tcBorders>
            <w:vAlign w:val="center"/>
          </w:tcPr>
          <w:p>
            <w:pPr>
              <w:spacing w:line="440" w:lineRule="exact"/>
              <w:jc w:val="left"/>
              <w:rPr>
                <w:rFonts w:ascii="Times New Roman" w:hAnsi="Times New Roman"/>
                <w:color w:val="000000"/>
                <w:highlight w:val="none"/>
              </w:rPr>
            </w:pPr>
            <w:r>
              <w:rPr>
                <w:rFonts w:ascii="Times New Roman" w:hAnsi="Times New Roman"/>
                <w:color w:val="000000"/>
                <w:highlight w:val="none"/>
              </w:rPr>
              <w:t>符合第二章“投标人须知”第1.3.1项规定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continue"/>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交货期</w:t>
            </w:r>
          </w:p>
        </w:tc>
        <w:tc>
          <w:tcPr>
            <w:tcW w:w="4819" w:type="dxa"/>
            <w:tcBorders>
              <w:top w:val="single" w:color="auto" w:sz="4" w:space="0"/>
              <w:left w:val="single" w:color="auto" w:sz="4" w:space="0"/>
              <w:bottom w:val="single" w:color="auto" w:sz="4" w:space="0"/>
            </w:tcBorders>
            <w:vAlign w:val="center"/>
          </w:tcPr>
          <w:p>
            <w:pPr>
              <w:spacing w:line="440" w:lineRule="exact"/>
              <w:jc w:val="left"/>
              <w:rPr>
                <w:rFonts w:ascii="Times New Roman" w:hAnsi="Times New Roman"/>
                <w:color w:val="000000"/>
                <w:highlight w:val="none"/>
              </w:rPr>
            </w:pPr>
            <w:r>
              <w:rPr>
                <w:rFonts w:ascii="Times New Roman" w:hAnsi="Times New Roman"/>
                <w:color w:val="000000"/>
                <w:highlight w:val="none"/>
              </w:rPr>
              <w:t>符合第二章“投标人须知”第1.3.2项规定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continue"/>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hint="eastAsia" w:ascii="Times New Roman" w:hAnsi="Times New Roman"/>
                <w:color w:val="000000"/>
                <w:highlight w:val="none"/>
              </w:rPr>
              <w:t>交货地点</w:t>
            </w:r>
          </w:p>
        </w:tc>
        <w:tc>
          <w:tcPr>
            <w:tcW w:w="4819" w:type="dxa"/>
            <w:tcBorders>
              <w:top w:val="single" w:color="auto" w:sz="4" w:space="0"/>
              <w:left w:val="single" w:color="auto" w:sz="4" w:space="0"/>
              <w:bottom w:val="single" w:color="auto" w:sz="4" w:space="0"/>
            </w:tcBorders>
            <w:vAlign w:val="center"/>
          </w:tcPr>
          <w:p>
            <w:pPr>
              <w:spacing w:line="440" w:lineRule="exact"/>
              <w:jc w:val="left"/>
              <w:rPr>
                <w:rFonts w:ascii="Times New Roman" w:hAnsi="Times New Roman"/>
                <w:color w:val="000000"/>
                <w:highlight w:val="none"/>
              </w:rPr>
            </w:pPr>
            <w:r>
              <w:rPr>
                <w:rFonts w:ascii="Times New Roman" w:hAnsi="Times New Roman"/>
                <w:color w:val="000000"/>
                <w:highlight w:val="none"/>
              </w:rPr>
              <w:t>符合第二章“投标人须知”第1.3.</w:t>
            </w:r>
            <w:r>
              <w:rPr>
                <w:rFonts w:hint="eastAsia" w:ascii="Times New Roman" w:hAnsi="Times New Roman"/>
                <w:color w:val="000000"/>
                <w:highlight w:val="none"/>
              </w:rPr>
              <w:t>3</w:t>
            </w:r>
            <w:r>
              <w:rPr>
                <w:rFonts w:ascii="Times New Roman" w:hAnsi="Times New Roman"/>
                <w:color w:val="000000"/>
                <w:highlight w:val="none"/>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continue"/>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hint="eastAsia" w:ascii="Times New Roman" w:hAnsi="Times New Roman"/>
                <w:color w:val="000000"/>
                <w:highlight w:val="none"/>
              </w:rPr>
              <w:t>质量要求</w:t>
            </w:r>
          </w:p>
        </w:tc>
        <w:tc>
          <w:tcPr>
            <w:tcW w:w="4819" w:type="dxa"/>
            <w:tcBorders>
              <w:top w:val="single" w:color="auto" w:sz="4" w:space="0"/>
              <w:left w:val="single" w:color="auto" w:sz="4" w:space="0"/>
              <w:bottom w:val="single" w:color="auto" w:sz="4" w:space="0"/>
            </w:tcBorders>
            <w:vAlign w:val="center"/>
          </w:tcPr>
          <w:p>
            <w:pPr>
              <w:spacing w:line="440" w:lineRule="exact"/>
              <w:jc w:val="left"/>
              <w:rPr>
                <w:rFonts w:ascii="Times New Roman" w:hAnsi="Times New Roman"/>
                <w:color w:val="000000"/>
                <w:highlight w:val="none"/>
              </w:rPr>
            </w:pPr>
            <w:r>
              <w:rPr>
                <w:rFonts w:ascii="Times New Roman" w:hAnsi="Times New Roman"/>
                <w:color w:val="000000"/>
                <w:highlight w:val="none"/>
              </w:rPr>
              <w:t>符合第二章“投标人须知”第1.3.</w:t>
            </w:r>
            <w:r>
              <w:rPr>
                <w:rFonts w:hint="eastAsia" w:ascii="Times New Roman" w:hAnsi="Times New Roman"/>
                <w:color w:val="000000"/>
                <w:highlight w:val="none"/>
              </w:rPr>
              <w:t>4</w:t>
            </w:r>
            <w:r>
              <w:rPr>
                <w:rFonts w:ascii="Times New Roman" w:hAnsi="Times New Roman"/>
                <w:color w:val="000000"/>
                <w:highlight w:val="none"/>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1662" w:type="dxa"/>
            <w:tcBorders>
              <w:top w:val="single" w:color="auto" w:sz="4" w:space="0"/>
              <w:left w:val="single" w:color="auto" w:sz="4" w:space="0"/>
              <w:bottom w:val="single" w:color="auto" w:sz="4" w:space="0"/>
              <w:right w:val="single" w:color="auto" w:sz="4" w:space="0"/>
            </w:tcBorders>
          </w:tcPr>
          <w:p>
            <w:pPr>
              <w:spacing w:line="440" w:lineRule="exact"/>
              <w:jc w:val="center"/>
              <w:rPr>
                <w:rFonts w:ascii="Times New Roman" w:hAnsi="Times New Roman"/>
                <w:color w:val="000000"/>
                <w:highlight w:val="none"/>
              </w:rPr>
            </w:pPr>
            <w:r>
              <w:rPr>
                <w:rFonts w:ascii="Times New Roman" w:hAnsi="Times New Roman"/>
                <w:color w:val="000000"/>
                <w:highlight w:val="none"/>
              </w:rPr>
              <w:t>投标</w:t>
            </w:r>
            <w:r>
              <w:rPr>
                <w:rFonts w:ascii="Times New Roman" w:hAnsi="Times New Roman"/>
                <w:highlight w:val="none"/>
              </w:rPr>
              <w:t>有效期</w:t>
            </w:r>
          </w:p>
        </w:tc>
        <w:tc>
          <w:tcPr>
            <w:tcW w:w="4819" w:type="dxa"/>
            <w:tcBorders>
              <w:top w:val="single" w:color="auto" w:sz="4" w:space="0"/>
              <w:left w:val="single" w:color="auto" w:sz="4" w:space="0"/>
              <w:bottom w:val="single" w:color="auto" w:sz="4" w:space="0"/>
            </w:tcBorders>
          </w:tcPr>
          <w:p>
            <w:pPr>
              <w:spacing w:line="440" w:lineRule="exact"/>
              <w:rPr>
                <w:rFonts w:ascii="Times New Roman" w:hAnsi="Times New Roman"/>
                <w:highlight w:val="none"/>
              </w:rPr>
            </w:pPr>
            <w:r>
              <w:rPr>
                <w:rFonts w:ascii="Times New Roman" w:hAnsi="Times New Roman"/>
                <w:color w:val="000000"/>
                <w:highlight w:val="none"/>
              </w:rPr>
              <w:t>符合第二章“投标人须知”第3.</w:t>
            </w:r>
            <w:r>
              <w:rPr>
                <w:rFonts w:ascii="Times New Roman" w:hAnsi="Times New Roman"/>
                <w:highlight w:val="none"/>
              </w:rPr>
              <w:t>3.1项规定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1662" w:type="dxa"/>
            <w:tcBorders>
              <w:top w:val="single" w:color="auto" w:sz="4" w:space="0"/>
              <w:left w:val="single" w:color="auto" w:sz="4" w:space="0"/>
              <w:bottom w:val="single" w:color="auto" w:sz="4" w:space="0"/>
              <w:right w:val="single" w:color="auto" w:sz="4" w:space="0"/>
            </w:tcBorders>
          </w:tcPr>
          <w:p>
            <w:pPr>
              <w:spacing w:line="440" w:lineRule="exact"/>
              <w:jc w:val="center"/>
              <w:rPr>
                <w:rFonts w:ascii="Times New Roman" w:hAnsi="Times New Roman"/>
                <w:highlight w:val="none"/>
              </w:rPr>
            </w:pPr>
            <w:r>
              <w:rPr>
                <w:rFonts w:ascii="Times New Roman" w:hAnsi="Times New Roman"/>
                <w:highlight w:val="none"/>
              </w:rPr>
              <w:t>投标保证金</w:t>
            </w:r>
          </w:p>
        </w:tc>
        <w:tc>
          <w:tcPr>
            <w:tcW w:w="4819" w:type="dxa"/>
            <w:tcBorders>
              <w:top w:val="single" w:color="auto" w:sz="4" w:space="0"/>
              <w:left w:val="single" w:color="auto" w:sz="4" w:space="0"/>
              <w:bottom w:val="single" w:color="auto" w:sz="4" w:space="0"/>
            </w:tcBorders>
          </w:tcPr>
          <w:p>
            <w:pPr>
              <w:spacing w:line="440" w:lineRule="exact"/>
              <w:rPr>
                <w:rFonts w:ascii="Times New Roman" w:hAnsi="Times New Roman"/>
                <w:highlight w:val="none"/>
              </w:rPr>
            </w:pPr>
            <w:r>
              <w:rPr>
                <w:rFonts w:ascii="Times New Roman" w:hAnsi="Times New Roman"/>
                <w:highlight w:val="none"/>
              </w:rPr>
              <w:t>符合第二章“投标人须知”第3.4</w:t>
            </w:r>
            <w:r>
              <w:rPr>
                <w:rFonts w:hint="eastAsia" w:ascii="Times New Roman" w:hAnsi="Times New Roman"/>
                <w:highlight w:val="none"/>
              </w:rPr>
              <w:t>.1项</w:t>
            </w:r>
            <w:r>
              <w:rPr>
                <w:rFonts w:ascii="Times New Roman" w:hAnsi="Times New Roman"/>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1662" w:type="dxa"/>
            <w:tcBorders>
              <w:top w:val="single" w:color="auto" w:sz="4" w:space="0"/>
              <w:left w:val="single" w:color="auto" w:sz="4" w:space="0"/>
              <w:bottom w:val="single" w:color="auto" w:sz="4" w:space="0"/>
              <w:right w:val="single" w:color="auto" w:sz="4" w:space="0"/>
            </w:tcBorders>
          </w:tcPr>
          <w:p>
            <w:pPr>
              <w:spacing w:line="440" w:lineRule="exact"/>
              <w:jc w:val="center"/>
              <w:rPr>
                <w:rFonts w:ascii="Times New Roman" w:hAnsi="Times New Roman"/>
                <w:highlight w:val="none"/>
              </w:rPr>
            </w:pPr>
            <w:r>
              <w:rPr>
                <w:rFonts w:ascii="Times New Roman" w:hAnsi="Times New Roman"/>
                <w:highlight w:val="none"/>
              </w:rPr>
              <w:t>权利义务</w:t>
            </w:r>
          </w:p>
        </w:tc>
        <w:tc>
          <w:tcPr>
            <w:tcW w:w="4819" w:type="dxa"/>
            <w:tcBorders>
              <w:top w:val="single" w:color="auto" w:sz="4" w:space="0"/>
              <w:left w:val="single" w:color="auto" w:sz="4" w:space="0"/>
              <w:bottom w:val="single" w:color="auto" w:sz="4" w:space="0"/>
            </w:tcBorders>
          </w:tcPr>
          <w:p>
            <w:pPr>
              <w:spacing w:line="440" w:lineRule="exact"/>
              <w:rPr>
                <w:rFonts w:ascii="Times New Roman" w:hAnsi="Times New Roman"/>
                <w:highlight w:val="none"/>
              </w:rPr>
            </w:pPr>
            <w:r>
              <w:rPr>
                <w:rFonts w:ascii="Times New Roman" w:hAnsi="Times New Roman"/>
                <w:highlight w:val="none"/>
              </w:rPr>
              <w:t>符合第二章“投标人须知”</w:t>
            </w:r>
            <w:r>
              <w:rPr>
                <w:rFonts w:hint="eastAsia" w:ascii="Times New Roman" w:hAnsi="Times New Roman"/>
                <w:highlight w:val="none"/>
              </w:rPr>
              <w:t>第1.11.1项规定和</w:t>
            </w:r>
            <w:r>
              <w:rPr>
                <w:rFonts w:ascii="Times New Roman" w:hAnsi="Times New Roman"/>
                <w:highlight w:val="none"/>
              </w:rPr>
              <w:t>第四章“合同条款及格式”中</w:t>
            </w:r>
            <w:r>
              <w:rPr>
                <w:rFonts w:hint="eastAsia" w:ascii="Times New Roman" w:hAnsi="Times New Roman"/>
                <w:highlight w:val="none"/>
              </w:rPr>
              <w:t>的</w:t>
            </w:r>
            <w:r>
              <w:rPr>
                <w:rFonts w:ascii="Times New Roman" w:hAnsi="Times New Roman"/>
                <w:color w:val="000000"/>
                <w:highlight w:val="none"/>
              </w:rPr>
              <w:t>实质性要求和条件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6" w:hRule="atLeas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highlight w:val="none"/>
              </w:rPr>
              <w:t>……</w:t>
            </w:r>
          </w:p>
        </w:tc>
        <w:tc>
          <w:tcPr>
            <w:tcW w:w="4819" w:type="dxa"/>
            <w:tcBorders>
              <w:top w:val="single" w:color="auto" w:sz="4" w:space="0"/>
              <w:left w:val="single" w:color="auto" w:sz="4" w:space="0"/>
              <w:bottom w:val="single" w:color="auto" w:sz="4" w:space="0"/>
            </w:tcBorders>
            <w:vAlign w:val="center"/>
          </w:tcPr>
          <w:p>
            <w:pPr>
              <w:spacing w:line="440" w:lineRule="exact"/>
              <w:jc w:val="center"/>
              <w:rPr>
                <w:rFonts w:ascii="Times New Roman" w:hAnsi="Times New Roman"/>
                <w:highlight w:val="none"/>
              </w:rPr>
            </w:pPr>
            <w:r>
              <w:rPr>
                <w:rFonts w:ascii="Times New Roman" w:hAnsi="Times New Roman"/>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6" w:hRule="atLeast"/>
        </w:trPr>
        <w:tc>
          <w:tcPr>
            <w:tcW w:w="8505" w:type="dxa"/>
            <w:gridSpan w:val="4"/>
            <w:tcBorders>
              <w:top w:val="single" w:color="auto" w:sz="4" w:space="0"/>
              <w:bottom w:val="single" w:color="auto" w:sz="4" w:space="0"/>
            </w:tcBorders>
            <w:vAlign w:val="center"/>
          </w:tcPr>
          <w:p>
            <w:pPr>
              <w:spacing w:line="440" w:lineRule="exact"/>
              <w:jc w:val="center"/>
              <w:rPr>
                <w:rFonts w:ascii="Times New Roman" w:hAnsi="Times New Roman"/>
                <w:highlight w:val="none"/>
              </w:rPr>
            </w:pPr>
            <w:r>
              <w:rPr>
                <w:rFonts w:hint="eastAsia" w:ascii="仿宋_GB2312" w:hAnsi="仿宋_GB2312" w:eastAsia="仿宋_GB2312" w:cs="仿宋_GB2312"/>
                <w:b/>
                <w:bCs/>
                <w:kern w:val="0"/>
                <w:szCs w:val="21"/>
                <w:highlight w:val="none"/>
              </w:rPr>
              <w:t>技术标初步评审标准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6" w:hRule="atLeast"/>
        </w:trPr>
        <w:tc>
          <w:tcPr>
            <w:tcW w:w="900" w:type="dxa"/>
            <w:vMerge w:val="restart"/>
            <w:tcBorders>
              <w:top w:val="single" w:color="auto" w:sz="4" w:space="0"/>
              <w:right w:val="single" w:color="auto" w:sz="4" w:space="0"/>
            </w:tcBorders>
            <w:vAlign w:val="center"/>
          </w:tcPr>
          <w:p>
            <w:pPr>
              <w:rPr>
                <w:rFonts w:ascii="Times New Roman" w:hAnsi="Times New Roman"/>
                <w:highlight w:val="none"/>
              </w:rPr>
            </w:pPr>
            <w:r>
              <w:rPr>
                <w:rFonts w:ascii="Times New Roman" w:hAnsi="Times New Roman" w:eastAsia="宋体" w:cs="Times New Roman"/>
                <w:sz w:val="21"/>
                <w:szCs w:val="22"/>
                <w:highlight w:val="none"/>
              </w:rPr>
              <w:t>2.1.1</w:t>
            </w:r>
          </w:p>
        </w:tc>
        <w:tc>
          <w:tcPr>
            <w:tcW w:w="1124"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highlight w:val="none"/>
              </w:rPr>
            </w:pPr>
            <w:r>
              <w:rPr>
                <w:rFonts w:hint="eastAsia" w:ascii="Times New Roman" w:hAnsi="Times New Roman" w:eastAsia="宋体" w:cs="Times New Roman"/>
                <w:sz w:val="21"/>
                <w:szCs w:val="22"/>
                <w:highlight w:val="none"/>
              </w:rPr>
              <w:t>形式评审标准</w:t>
            </w:r>
          </w:p>
        </w:tc>
        <w:tc>
          <w:tcPr>
            <w:tcW w:w="1662"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ascii="Times New Roman" w:hAnsi="Times New Roman"/>
                <w:highlight w:val="none"/>
              </w:rPr>
            </w:pPr>
            <w:r>
              <w:rPr>
                <w:rFonts w:hint="eastAsia" w:ascii="Times New Roman" w:hAnsi="Times New Roman" w:eastAsia="宋体" w:cs="Times New Roman"/>
                <w:kern w:val="2"/>
                <w:sz w:val="21"/>
                <w:szCs w:val="22"/>
                <w:highlight w:val="none"/>
              </w:rPr>
              <w:t>投标文件格式</w:t>
            </w:r>
          </w:p>
        </w:tc>
        <w:tc>
          <w:tcPr>
            <w:tcW w:w="4819" w:type="dxa"/>
            <w:tcBorders>
              <w:top w:val="single" w:color="auto" w:sz="4" w:space="0"/>
              <w:left w:val="single" w:color="auto" w:sz="4" w:space="0"/>
              <w:bottom w:val="single" w:color="auto" w:sz="4" w:space="0"/>
            </w:tcBorders>
            <w:vAlign w:val="center"/>
          </w:tcPr>
          <w:p>
            <w:pPr>
              <w:spacing w:line="240" w:lineRule="auto"/>
              <w:jc w:val="left"/>
              <w:rPr>
                <w:rFonts w:ascii="Times New Roman" w:hAnsi="Times New Roman"/>
                <w:highlight w:val="none"/>
              </w:rPr>
            </w:pPr>
            <w:r>
              <w:rPr>
                <w:rFonts w:hint="eastAsia" w:ascii="Times New Roman" w:hAnsi="Times New Roman" w:eastAsia="宋体" w:cs="Times New Roman"/>
                <w:kern w:val="2"/>
                <w:sz w:val="21"/>
                <w:szCs w:val="22"/>
                <w:highlight w:val="none"/>
              </w:rPr>
              <w:t>符合第六章“投标文件格式”的规定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6" w:hRule="atLeast"/>
        </w:trPr>
        <w:tc>
          <w:tcPr>
            <w:tcW w:w="900" w:type="dxa"/>
            <w:vMerge w:val="continue"/>
            <w:tcBorders>
              <w:right w:val="single" w:color="auto" w:sz="4" w:space="0"/>
            </w:tcBorders>
            <w:vAlign w:val="center"/>
          </w:tcPr>
          <w:p>
            <w:pPr>
              <w:rPr>
                <w:rFonts w:ascii="Times New Roman" w:hAnsi="Times New Roman"/>
                <w:highlight w:val="none"/>
              </w:rPr>
            </w:pPr>
          </w:p>
        </w:tc>
        <w:tc>
          <w:tcPr>
            <w:tcW w:w="1124" w:type="dxa"/>
            <w:vMerge w:val="continue"/>
            <w:tcBorders>
              <w:left w:val="single" w:color="auto" w:sz="4" w:space="0"/>
              <w:right w:val="single" w:color="auto" w:sz="4" w:space="0"/>
            </w:tcBorders>
            <w:vAlign w:val="center"/>
          </w:tcPr>
          <w:p>
            <w:pPr>
              <w:jc w:val="center"/>
              <w:rPr>
                <w:rFonts w:ascii="Times New Roman" w:hAnsi="Times New Roman"/>
                <w:highlight w:val="none"/>
              </w:rPr>
            </w:pPr>
          </w:p>
        </w:tc>
        <w:tc>
          <w:tcPr>
            <w:tcW w:w="1662"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ascii="Times New Roman" w:hAnsi="Times New Roman"/>
                <w:highlight w:val="none"/>
              </w:rPr>
            </w:pPr>
            <w:r>
              <w:rPr>
                <w:rFonts w:hint="eastAsia" w:ascii="Times New Roman" w:hAnsi="Times New Roman" w:eastAsia="宋体" w:cs="Times New Roman"/>
                <w:kern w:val="2"/>
                <w:sz w:val="21"/>
                <w:szCs w:val="22"/>
                <w:highlight w:val="none"/>
              </w:rPr>
              <w:t>未出现异常情形</w:t>
            </w:r>
          </w:p>
        </w:tc>
        <w:tc>
          <w:tcPr>
            <w:tcW w:w="4819" w:type="dxa"/>
            <w:tcBorders>
              <w:top w:val="single" w:color="auto" w:sz="4" w:space="0"/>
              <w:left w:val="single" w:color="auto" w:sz="4" w:space="0"/>
              <w:bottom w:val="single" w:color="auto" w:sz="4" w:space="0"/>
            </w:tcBorders>
            <w:vAlign w:val="center"/>
          </w:tcPr>
          <w:p>
            <w:pPr>
              <w:spacing w:line="240" w:lineRule="auto"/>
              <w:jc w:val="left"/>
              <w:rPr>
                <w:rFonts w:ascii="Times New Roman" w:hAnsi="Times New Roman"/>
                <w:highlight w:val="none"/>
              </w:rPr>
            </w:pPr>
            <w:r>
              <w:rPr>
                <w:rFonts w:hint="eastAsia" w:ascii="Times New Roman" w:hAnsi="Times New Roman" w:eastAsia="宋体" w:cs="Times New Roman"/>
                <w:sz w:val="21"/>
                <w:szCs w:val="22"/>
                <w:highlight w:val="none"/>
              </w:rPr>
              <w:t>未出现不同投标人文件制作机器码或文件创建标识码相同的情形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6" w:hRule="atLeast"/>
        </w:trPr>
        <w:tc>
          <w:tcPr>
            <w:tcW w:w="900" w:type="dxa"/>
            <w:vMerge w:val="continue"/>
            <w:tcBorders>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left w:val="single" w:color="auto" w:sz="4" w:space="0"/>
              <w:bottom w:val="single" w:color="auto" w:sz="4" w:space="0"/>
              <w:right w:val="single" w:color="auto" w:sz="4" w:space="0"/>
            </w:tcBorders>
            <w:vAlign w:val="center"/>
          </w:tcPr>
          <w:p>
            <w:pPr>
              <w:jc w:val="center"/>
              <w:rPr>
                <w:rFonts w:ascii="Times New Roman" w:hAnsi="Times New Roman"/>
                <w:highlight w:val="none"/>
              </w:rPr>
            </w:pPr>
          </w:p>
        </w:tc>
        <w:tc>
          <w:tcPr>
            <w:tcW w:w="1662"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ascii="Times New Roman" w:hAnsi="Times New Roman"/>
                <w:highlight w:val="none"/>
              </w:rPr>
            </w:pPr>
            <w:r>
              <w:rPr>
                <w:rFonts w:hint="eastAsia" w:ascii="Times New Roman" w:hAnsi="Times New Roman" w:eastAsia="宋体" w:cs="Times New Roman"/>
                <w:sz w:val="21"/>
                <w:szCs w:val="22"/>
                <w:highlight w:val="none"/>
              </w:rPr>
              <w:t>技术暗标编制</w:t>
            </w:r>
          </w:p>
        </w:tc>
        <w:tc>
          <w:tcPr>
            <w:tcW w:w="4819" w:type="dxa"/>
            <w:tcBorders>
              <w:top w:val="single" w:color="auto" w:sz="4" w:space="0"/>
              <w:left w:val="single" w:color="auto" w:sz="4" w:space="0"/>
              <w:bottom w:val="single" w:color="auto" w:sz="4" w:space="0"/>
            </w:tcBorders>
            <w:vAlign w:val="center"/>
          </w:tcPr>
          <w:p>
            <w:pPr>
              <w:spacing w:line="240" w:lineRule="auto"/>
              <w:jc w:val="left"/>
              <w:rPr>
                <w:rFonts w:ascii="Times New Roman" w:hAnsi="Times New Roman"/>
                <w:highlight w:val="none"/>
              </w:rPr>
            </w:pPr>
            <w:r>
              <w:rPr>
                <w:rFonts w:hint="eastAsia" w:ascii="Times New Roman" w:hAnsi="Times New Roman" w:eastAsia="宋体" w:cs="Times New Roman"/>
                <w:sz w:val="21"/>
                <w:szCs w:val="22"/>
                <w:highlight w:val="none"/>
              </w:rPr>
              <w:t>符合第二章“投标人须知”前附表第</w:t>
            </w:r>
            <w:r>
              <w:rPr>
                <w:rFonts w:ascii="Times New Roman" w:hAnsi="Times New Roman" w:eastAsia="宋体" w:cs="Times New Roman"/>
                <w:sz w:val="21"/>
                <w:szCs w:val="22"/>
                <w:highlight w:val="none"/>
              </w:rPr>
              <w:t>3.7.6</w:t>
            </w:r>
            <w:r>
              <w:rPr>
                <w:rFonts w:hint="eastAsia" w:ascii="Times New Roman" w:hAnsi="Times New Roman" w:eastAsia="宋体" w:cs="Times New Roman"/>
                <w:sz w:val="21"/>
                <w:szCs w:val="22"/>
                <w:highlight w:val="none"/>
              </w:rPr>
              <w:t>项的规定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6" w:hRule="atLeast"/>
        </w:trPr>
        <w:tc>
          <w:tcPr>
            <w:tcW w:w="900" w:type="dxa"/>
            <w:vMerge w:val="restart"/>
            <w:tcBorders>
              <w:top w:val="single" w:color="auto" w:sz="4" w:space="0"/>
              <w:right w:val="single" w:color="auto" w:sz="4" w:space="0"/>
            </w:tcBorders>
            <w:vAlign w:val="center"/>
          </w:tcPr>
          <w:p>
            <w:pPr>
              <w:rPr>
                <w:rFonts w:ascii="Times New Roman" w:hAnsi="Times New Roman"/>
                <w:highlight w:val="none"/>
              </w:rPr>
            </w:pPr>
            <w:r>
              <w:rPr>
                <w:rFonts w:ascii="Times New Roman" w:hAnsi="Times New Roman" w:eastAsia="宋体" w:cs="Times New Roman"/>
                <w:sz w:val="21"/>
                <w:szCs w:val="22"/>
                <w:highlight w:val="none"/>
              </w:rPr>
              <w:t>2.1.3</w:t>
            </w:r>
          </w:p>
        </w:tc>
        <w:tc>
          <w:tcPr>
            <w:tcW w:w="1124"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highlight w:val="none"/>
              </w:rPr>
            </w:pPr>
            <w:r>
              <w:rPr>
                <w:rFonts w:hint="eastAsia" w:ascii="Times New Roman" w:hAnsi="Times New Roman" w:eastAsia="宋体" w:cs="Times New Roman"/>
                <w:sz w:val="21"/>
                <w:szCs w:val="22"/>
                <w:highlight w:val="none"/>
              </w:rPr>
              <w:t>响应性评审标准</w:t>
            </w:r>
          </w:p>
        </w:tc>
        <w:tc>
          <w:tcPr>
            <w:tcW w:w="1662"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ascii="Times New Roman" w:hAnsi="Times New Roman"/>
                <w:highlight w:val="none"/>
              </w:rPr>
            </w:pPr>
            <w:r>
              <w:rPr>
                <w:rFonts w:ascii="Times New Roman" w:hAnsi="Times New Roman"/>
                <w:highlight w:val="none"/>
              </w:rPr>
              <w:t>投标材料及相关服务</w:t>
            </w:r>
          </w:p>
        </w:tc>
        <w:tc>
          <w:tcPr>
            <w:tcW w:w="4819" w:type="dxa"/>
            <w:tcBorders>
              <w:top w:val="single" w:color="auto" w:sz="4" w:space="0"/>
              <w:left w:val="single" w:color="auto" w:sz="4" w:space="0"/>
              <w:bottom w:val="single" w:color="auto" w:sz="4" w:space="0"/>
            </w:tcBorders>
            <w:vAlign w:val="center"/>
          </w:tcPr>
          <w:p>
            <w:pPr>
              <w:spacing w:line="240" w:lineRule="auto"/>
              <w:jc w:val="left"/>
              <w:rPr>
                <w:rFonts w:ascii="Times New Roman" w:hAnsi="Times New Roman"/>
                <w:highlight w:val="none"/>
              </w:rPr>
            </w:pPr>
            <w:r>
              <w:rPr>
                <w:rFonts w:ascii="Times New Roman" w:hAnsi="Times New Roman"/>
                <w:highlight w:val="none"/>
              </w:rPr>
              <w:t>符合第五章“供货要求”中的实质性要求和条件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6" w:hRule="atLeast"/>
        </w:trPr>
        <w:tc>
          <w:tcPr>
            <w:tcW w:w="900" w:type="dxa"/>
            <w:vMerge w:val="continue"/>
            <w:tcBorders>
              <w:bottom w:val="single" w:color="auto" w:sz="4" w:space="0"/>
              <w:right w:val="single" w:color="auto" w:sz="4" w:space="0"/>
            </w:tcBorders>
            <w:vAlign w:val="center"/>
          </w:tcPr>
          <w:p>
            <w:pPr>
              <w:rPr>
                <w:rFonts w:ascii="Times New Roman" w:hAnsi="Times New Roman" w:eastAsia="宋体" w:cs="Times New Roman"/>
                <w:sz w:val="21"/>
                <w:szCs w:val="22"/>
                <w:highlight w:val="none"/>
              </w:rPr>
            </w:pPr>
          </w:p>
        </w:tc>
        <w:tc>
          <w:tcPr>
            <w:tcW w:w="1124" w:type="dxa"/>
            <w:vMerge w:val="continue"/>
            <w:tcBorders>
              <w:left w:val="single" w:color="auto" w:sz="4" w:space="0"/>
              <w:bottom w:val="single" w:color="auto" w:sz="4" w:space="0"/>
              <w:right w:val="single" w:color="auto" w:sz="4" w:space="0"/>
            </w:tcBorders>
            <w:vAlign w:val="center"/>
          </w:tcPr>
          <w:p>
            <w:pPr>
              <w:rPr>
                <w:rFonts w:ascii="Times New Roman" w:hAnsi="Times New Roman" w:eastAsia="宋体" w:cs="Times New Roman"/>
                <w:sz w:val="21"/>
                <w:szCs w:val="22"/>
                <w:highlight w:val="none"/>
              </w:rPr>
            </w:pPr>
          </w:p>
        </w:tc>
        <w:tc>
          <w:tcPr>
            <w:tcW w:w="1662" w:type="dxa"/>
            <w:tcBorders>
              <w:top w:val="single" w:color="auto" w:sz="4" w:space="0"/>
              <w:left w:val="single" w:color="auto" w:sz="4" w:space="0"/>
              <w:right w:val="single" w:color="auto" w:sz="4" w:space="0"/>
            </w:tcBorders>
            <w:vAlign w:val="center"/>
          </w:tcPr>
          <w:p>
            <w:pPr>
              <w:spacing w:line="240" w:lineRule="auto"/>
              <w:jc w:val="center"/>
              <w:rPr>
                <w:rFonts w:ascii="Times New Roman" w:hAnsi="Times New Roman" w:eastAsia="宋体" w:cs="Times New Roman"/>
                <w:kern w:val="2"/>
                <w:sz w:val="21"/>
                <w:szCs w:val="22"/>
                <w:highlight w:val="none"/>
              </w:rPr>
            </w:pPr>
            <w:r>
              <w:rPr>
                <w:rFonts w:ascii="Times New Roman" w:hAnsi="Times New Roman"/>
                <w:highlight w:val="none"/>
              </w:rPr>
              <w:t>技术支持资料</w:t>
            </w:r>
          </w:p>
        </w:tc>
        <w:tc>
          <w:tcPr>
            <w:tcW w:w="4819" w:type="dxa"/>
            <w:tcBorders>
              <w:top w:val="single" w:color="auto" w:sz="4" w:space="0"/>
              <w:left w:val="single" w:color="auto" w:sz="4" w:space="0"/>
            </w:tcBorders>
            <w:vAlign w:val="center"/>
          </w:tcPr>
          <w:p>
            <w:pPr>
              <w:spacing w:line="240" w:lineRule="auto"/>
              <w:jc w:val="left"/>
              <w:rPr>
                <w:rFonts w:ascii="Times New Roman" w:hAnsi="Times New Roman" w:eastAsia="宋体" w:cs="Times New Roman"/>
                <w:kern w:val="2"/>
                <w:sz w:val="21"/>
                <w:szCs w:val="22"/>
                <w:highlight w:val="none"/>
              </w:rPr>
            </w:pPr>
            <w:r>
              <w:rPr>
                <w:rFonts w:hint="eastAsia" w:ascii="Times New Roman" w:hAnsi="Times New Roman"/>
                <w:color w:val="000000"/>
                <w:highlight w:val="none"/>
              </w:rPr>
              <w:t>符合第二章</w:t>
            </w:r>
            <w:r>
              <w:rPr>
                <w:rFonts w:ascii="Times New Roman" w:hAnsi="Times New Roman"/>
                <w:color w:val="000000"/>
                <w:highlight w:val="none"/>
              </w:rPr>
              <w:t>“</w:t>
            </w:r>
            <w:r>
              <w:rPr>
                <w:rFonts w:hint="eastAsia" w:ascii="Times New Roman" w:hAnsi="Times New Roman"/>
                <w:color w:val="000000"/>
                <w:highlight w:val="none"/>
              </w:rPr>
              <w:t>投标人须知</w:t>
            </w:r>
            <w:r>
              <w:rPr>
                <w:rFonts w:ascii="Times New Roman" w:hAnsi="Times New Roman"/>
                <w:color w:val="000000"/>
                <w:highlight w:val="none"/>
              </w:rPr>
              <w:t>”</w:t>
            </w:r>
            <w:r>
              <w:rPr>
                <w:rFonts w:hint="eastAsia" w:ascii="Times New Roman" w:hAnsi="Times New Roman"/>
                <w:color w:val="000000"/>
                <w:highlight w:val="none"/>
              </w:rPr>
              <w:t>第</w:t>
            </w:r>
            <w:r>
              <w:rPr>
                <w:rFonts w:ascii="Times New Roman" w:hAnsi="Times New Roman"/>
                <w:color w:val="000000"/>
                <w:highlight w:val="none"/>
              </w:rPr>
              <w:t>1.11.3</w:t>
            </w:r>
            <w:r>
              <w:rPr>
                <w:rFonts w:ascii="Times New Roman" w:hAnsi="Times New Roman"/>
                <w:highlight w:val="none"/>
              </w:rPr>
              <w:t>项规定</w:t>
            </w:r>
          </w:p>
        </w:tc>
      </w:tr>
    </w:tbl>
    <w:p>
      <w:pPr>
        <w:rPr>
          <w:highlight w:val="none"/>
        </w:rPr>
      </w:pPr>
      <w:r>
        <w:rPr>
          <w:highlight w:val="none"/>
        </w:rPr>
        <w:br w:type="page"/>
      </w:r>
    </w:p>
    <w:tbl>
      <w:tblPr>
        <w:tblStyle w:val="29"/>
        <w:tblW w:w="918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24"/>
        <w:gridCol w:w="1662"/>
        <w:gridCol w:w="549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b/>
                <w:color w:val="000000"/>
                <w:highlight w:val="none"/>
              </w:rPr>
            </w:pPr>
            <w:r>
              <w:rPr>
                <w:rFonts w:ascii="Times New Roman" w:hAnsi="Times New Roman"/>
                <w:b/>
                <w:color w:val="000000"/>
                <w:highlight w:val="none"/>
              </w:rPr>
              <w:t>条款号</w:t>
            </w: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b/>
                <w:color w:val="000000"/>
                <w:highlight w:val="none"/>
              </w:rPr>
            </w:pPr>
            <w:r>
              <w:rPr>
                <w:rFonts w:ascii="Times New Roman" w:hAnsi="Times New Roman"/>
                <w:b/>
                <w:color w:val="000000"/>
                <w:highlight w:val="none"/>
              </w:rPr>
              <w:t>条款内容</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b/>
                <w:color w:val="000000"/>
                <w:highlight w:val="none"/>
              </w:rPr>
            </w:pPr>
            <w:r>
              <w:rPr>
                <w:rFonts w:ascii="Times New Roman" w:hAnsi="Times New Roman"/>
                <w:b/>
                <w:color w:val="000000"/>
                <w:highlight w:val="none"/>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tcBorders>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2.2.1</w:t>
            </w: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分值构成</w:t>
            </w:r>
          </w:p>
          <w:p>
            <w:pPr>
              <w:spacing w:line="440" w:lineRule="exact"/>
              <w:jc w:val="center"/>
              <w:rPr>
                <w:rFonts w:ascii="Times New Roman" w:hAnsi="Times New Roman"/>
                <w:color w:val="000000"/>
                <w:highlight w:val="none"/>
              </w:rPr>
            </w:pPr>
            <w:r>
              <w:rPr>
                <w:rFonts w:ascii="Times New Roman" w:hAnsi="Times New Roman"/>
                <w:color w:val="000000"/>
                <w:highlight w:val="none"/>
              </w:rPr>
              <w:t>(总分100分)</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商务部分：</w:t>
            </w:r>
            <w:r>
              <w:rPr>
                <w:rFonts w:ascii="Times New Roman" w:hAnsi="Times New Roman"/>
                <w:color w:val="000000"/>
                <w:highlight w:val="none"/>
                <w:u w:val="single"/>
              </w:rPr>
              <w:t xml:space="preserve">       </w:t>
            </w:r>
            <w:r>
              <w:rPr>
                <w:rFonts w:ascii="Times New Roman" w:hAnsi="Times New Roman"/>
                <w:color w:val="000000"/>
                <w:highlight w:val="none"/>
              </w:rPr>
              <w:t>分</w:t>
            </w:r>
          </w:p>
          <w:p>
            <w:pPr>
              <w:spacing w:line="440" w:lineRule="exact"/>
              <w:rPr>
                <w:rFonts w:ascii="Times New Roman" w:hAnsi="Times New Roman"/>
                <w:color w:val="000000"/>
                <w:highlight w:val="none"/>
              </w:rPr>
            </w:pPr>
            <w:r>
              <w:rPr>
                <w:rFonts w:ascii="Times New Roman" w:hAnsi="Times New Roman"/>
                <w:highlight w:val="none"/>
              </w:rPr>
              <w:t>投标报价</w:t>
            </w:r>
            <w:r>
              <w:rPr>
                <w:rFonts w:ascii="Times New Roman" w:hAnsi="Times New Roman"/>
                <w:color w:val="000000"/>
                <w:highlight w:val="none"/>
              </w:rPr>
              <w:t>：</w:t>
            </w:r>
            <w:r>
              <w:rPr>
                <w:rFonts w:ascii="Times New Roman" w:hAnsi="Times New Roman"/>
                <w:color w:val="000000"/>
                <w:highlight w:val="none"/>
                <w:u w:val="single"/>
              </w:rPr>
              <w:t xml:space="preserve">       </w:t>
            </w:r>
            <w:r>
              <w:rPr>
                <w:rFonts w:ascii="Times New Roman" w:hAnsi="Times New Roman"/>
                <w:color w:val="000000"/>
                <w:highlight w:val="none"/>
              </w:rPr>
              <w:t>分</w:t>
            </w:r>
          </w:p>
          <w:p>
            <w:pPr>
              <w:spacing w:line="440" w:lineRule="exact"/>
              <w:rPr>
                <w:rFonts w:ascii="Times New Roman" w:hAnsi="Times New Roman"/>
                <w:color w:val="000000"/>
                <w:highlight w:val="none"/>
              </w:rPr>
            </w:pPr>
            <w:r>
              <w:rPr>
                <w:rFonts w:ascii="Times New Roman" w:hAnsi="Times New Roman"/>
                <w:color w:val="000000"/>
                <w:highlight w:val="none"/>
              </w:rPr>
              <w:t>其他评分因素：</w:t>
            </w:r>
            <w:r>
              <w:rPr>
                <w:rFonts w:ascii="Times New Roman" w:hAnsi="Times New Roman"/>
                <w:color w:val="000000"/>
                <w:highlight w:val="none"/>
                <w:u w:val="single"/>
              </w:rPr>
              <w:t xml:space="preserve">       </w:t>
            </w:r>
            <w:r>
              <w:rPr>
                <w:rFonts w:ascii="Times New Roman" w:hAnsi="Times New Roman"/>
                <w:color w:val="000000"/>
                <w:highlight w:val="none"/>
              </w:rPr>
              <w:t>分（如有）</w:t>
            </w:r>
          </w:p>
          <w:p>
            <w:pPr>
              <w:spacing w:line="440" w:lineRule="exact"/>
              <w:rPr>
                <w:rFonts w:ascii="Times New Roman" w:hAnsi="Times New Roman"/>
                <w:color w:val="000000"/>
                <w:highlight w:val="none"/>
              </w:rPr>
            </w:pPr>
            <w:r>
              <w:rPr>
                <w:rFonts w:ascii="Times New Roman" w:hAnsi="Times New Roman"/>
                <w:color w:val="000000"/>
                <w:highlight w:val="none"/>
              </w:rPr>
              <w:t>技术部分：</w:t>
            </w:r>
            <w:r>
              <w:rPr>
                <w:rFonts w:ascii="Times New Roman" w:hAnsi="Times New Roman"/>
                <w:color w:val="000000"/>
                <w:highlight w:val="none"/>
                <w:u w:val="single"/>
              </w:rPr>
              <w:t xml:space="preserve">       </w:t>
            </w:r>
            <w:r>
              <w:rPr>
                <w:rFonts w:ascii="Times New Roman" w:hAnsi="Times New Roman"/>
                <w:color w:val="000000"/>
                <w:highlight w:val="none"/>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11" w:hRule="atLeast"/>
        </w:trPr>
        <w:tc>
          <w:tcPr>
            <w:tcW w:w="2024" w:type="dxa"/>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2.2.2</w:t>
            </w:r>
          </w:p>
        </w:tc>
        <w:tc>
          <w:tcPr>
            <w:tcW w:w="16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评标基准价计算方法</w:t>
            </w:r>
          </w:p>
        </w:tc>
        <w:tc>
          <w:tcPr>
            <w:tcW w:w="5494" w:type="dxa"/>
            <w:tcBorders>
              <w:top w:val="single" w:color="auto" w:sz="4" w:space="0"/>
              <w:left w:val="single" w:color="auto" w:sz="4" w:space="0"/>
              <w:bottom w:val="single" w:color="auto" w:sz="4" w:space="0"/>
              <w:right w:val="single" w:color="auto" w:sz="4" w:space="0"/>
            </w:tcBorders>
            <w:vAlign w:val="center"/>
          </w:tcPr>
          <w:p>
            <w:pPr>
              <w:rPr>
                <w:rFonts w:hint="eastAsia" w:cs="仿宋" w:asciiTheme="minorEastAsia" w:hAnsiTheme="minorEastAsia" w:eastAsiaTheme="minorEastAsia"/>
                <w:sz w:val="21"/>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仿宋" w:asciiTheme="minorEastAsia" w:hAnsiTheme="minorEastAsia" w:eastAsiaTheme="minorEastAsia"/>
                <w:b/>
                <w:bCs/>
                <w:sz w:val="21"/>
                <w:szCs w:val="21"/>
                <w:highlight w:val="none"/>
              </w:rPr>
            </w:pPr>
            <w:r>
              <w:rPr>
                <w:rFonts w:hint="eastAsia" w:cs="仿宋" w:asciiTheme="minorEastAsia" w:hAnsiTheme="minorEastAsia" w:eastAsiaTheme="minorEastAsia"/>
                <w:b/>
                <w:bCs/>
                <w:sz w:val="21"/>
                <w:szCs w:val="21"/>
                <w:highlight w:val="none"/>
              </w:rPr>
              <w:t>评标基准价的计算：</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仿宋" w:asciiTheme="minorEastAsia" w:hAnsiTheme="minorEastAsia" w:eastAsiaTheme="minorEastAsia"/>
                <w:sz w:val="21"/>
                <w:szCs w:val="21"/>
                <w:highlight w:val="none"/>
              </w:rPr>
            </w:pPr>
            <w:r>
              <w:rPr>
                <w:rFonts w:hint="eastAsia" w:cs="仿宋" w:asciiTheme="minorEastAsia" w:hAnsiTheme="minorEastAsia" w:eastAsiaTheme="minorEastAsia"/>
                <w:sz w:val="21"/>
                <w:szCs w:val="21"/>
                <w:highlight w:val="none"/>
              </w:rPr>
              <w:t>评标基准价=招标人编制的最高投标限价×K+所有有效投标报价去掉n个最高值和n个最低值后的算术平均值×（1-K），M≤5、n=0；5＜M≤10、n=1；10＜M≤20、n=2；M＞20、n=3。（M为有效报价的数量）。（计算结果保留二位小数，小数点后第三位四舍五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仿宋" w:asciiTheme="minorEastAsia" w:hAnsiTheme="minorEastAsia" w:eastAsiaTheme="minorEastAsia"/>
                <w:b/>
                <w:bCs/>
                <w:sz w:val="21"/>
                <w:szCs w:val="21"/>
                <w:highlight w:val="none"/>
              </w:rPr>
            </w:pPr>
            <w:r>
              <w:rPr>
                <w:rFonts w:hint="eastAsia" w:cs="仿宋" w:asciiTheme="minorEastAsia" w:hAnsiTheme="minorEastAsia" w:eastAsiaTheme="minorEastAsia"/>
                <w:b/>
                <w:bCs/>
                <w:sz w:val="21"/>
                <w:szCs w:val="21"/>
                <w:highlight w:val="none"/>
              </w:rPr>
              <w:t>招标人编制的最高投标限价在评标基准价中所占的权重K值由电子开标系统从备选范围（0.3、0.4、0.5）中随机抽取。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仿宋" w:asciiTheme="minorEastAsia" w:hAnsiTheme="minorEastAsia" w:eastAsiaTheme="minorEastAsia"/>
                <w:sz w:val="21"/>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color w:val="000000"/>
                <w:szCs w:val="21"/>
                <w:highlight w:val="none"/>
              </w:rPr>
            </w:pPr>
            <w:r>
              <w:rPr>
                <w:rFonts w:hint="eastAsia" w:cs="仿宋" w:asciiTheme="minorEastAsia" w:hAnsiTheme="minorEastAsia" w:eastAsiaTheme="minorEastAsia"/>
                <w:sz w:val="21"/>
                <w:szCs w:val="21"/>
                <w:highlight w:val="none"/>
              </w:rPr>
              <w:t>注：有效投标报价:指所有通过商务标、技术标初步评审的投标人投标报价，均</w:t>
            </w:r>
            <w:r>
              <w:rPr>
                <w:rFonts w:hint="eastAsia" w:cs="仿宋" w:asciiTheme="minorEastAsia" w:hAnsiTheme="minorEastAsia" w:eastAsiaTheme="minorEastAsia"/>
                <w:sz w:val="21"/>
                <w:szCs w:val="21"/>
                <w:highlight w:val="none"/>
                <w:lang w:eastAsia="zh-CN"/>
              </w:rPr>
              <w:t>指</w:t>
            </w:r>
            <w:r>
              <w:rPr>
                <w:rFonts w:hint="eastAsia" w:cs="仿宋" w:asciiTheme="minorEastAsia" w:hAnsiTheme="minorEastAsia" w:eastAsiaTheme="minorEastAsia"/>
                <w:sz w:val="21"/>
                <w:szCs w:val="21"/>
                <w:highlight w:val="none"/>
              </w:rPr>
              <w:t>算术修正后值，投标价格低于成本的除外。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2" w:hRule="atLeast"/>
        </w:trPr>
        <w:tc>
          <w:tcPr>
            <w:tcW w:w="2024" w:type="dxa"/>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2.2.3</w:t>
            </w:r>
          </w:p>
        </w:tc>
        <w:tc>
          <w:tcPr>
            <w:tcW w:w="1662" w:type="dxa"/>
            <w:tcBorders>
              <w:top w:val="single" w:color="auto" w:sz="4" w:space="0"/>
              <w:left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投标报价的偏差率计算公式</w:t>
            </w:r>
          </w:p>
        </w:tc>
        <w:tc>
          <w:tcPr>
            <w:tcW w:w="5494" w:type="dxa"/>
            <w:tcBorders>
              <w:top w:val="single" w:color="auto" w:sz="4" w:space="0"/>
              <w:left w:val="single" w:color="auto" w:sz="4" w:space="0"/>
              <w:right w:val="single" w:color="auto" w:sz="4" w:space="0"/>
            </w:tcBorders>
            <w:vAlign w:val="center"/>
          </w:tcPr>
          <w:p>
            <w:pPr>
              <w:spacing w:line="440" w:lineRule="exact"/>
              <w:rPr>
                <w:rFonts w:hint="eastAsia" w:ascii="Times New Roman" w:hAnsi="Times New Roman"/>
                <w:color w:val="000000"/>
                <w:highlight w:val="none"/>
              </w:rPr>
            </w:pPr>
            <w:r>
              <w:rPr>
                <w:rFonts w:hint="eastAsia" w:ascii="Times New Roman" w:hAnsi="Times New Roman"/>
                <w:color w:val="000000"/>
                <w:highlight w:val="none"/>
              </w:rPr>
              <w:t>偏差率（P）=[（投标报价－评标基准价）/评标基准价]×100%</w:t>
            </w:r>
          </w:p>
          <w:p>
            <w:pPr>
              <w:spacing w:line="440" w:lineRule="exact"/>
              <w:rPr>
                <w:rFonts w:ascii="Times New Roman" w:hAnsi="Times New Roman"/>
                <w:color w:val="000000"/>
                <w:highlight w:val="none"/>
              </w:rPr>
            </w:pPr>
            <w:r>
              <w:rPr>
                <w:rFonts w:hint="eastAsia" w:ascii="Times New Roman" w:hAnsi="Times New Roman"/>
                <w:color w:val="000000"/>
                <w:highlight w:val="none"/>
              </w:rPr>
              <w:t>计算结果保留小数点后两位，小数点后第三位“四舍五入”，即为*.**%。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2" w:hRule="atLeast"/>
        </w:trPr>
        <w:tc>
          <w:tcPr>
            <w:tcW w:w="2024" w:type="dxa"/>
            <w:tcBorders>
              <w:top w:val="single" w:color="auto" w:sz="4" w:space="0"/>
              <w:bottom w:val="single" w:color="auto" w:sz="4" w:space="0"/>
              <w:right w:val="single" w:color="auto" w:sz="4" w:space="0"/>
            </w:tcBorders>
            <w:vAlign w:val="center"/>
          </w:tcPr>
          <w:p>
            <w:pPr>
              <w:spacing w:line="440" w:lineRule="exact"/>
              <w:jc w:val="center"/>
              <w:rPr>
                <w:rFonts w:hint="default" w:ascii="Times New Roman" w:hAnsi="Times New Roman" w:eastAsia="宋体"/>
                <w:color w:val="000000"/>
                <w:highlight w:val="none"/>
                <w:lang w:val="en-US" w:eastAsia="zh-CN"/>
              </w:rPr>
            </w:pPr>
            <w:r>
              <w:rPr>
                <w:rFonts w:hint="eastAsia" w:ascii="Times New Roman" w:hAnsi="Times New Roman"/>
                <w:color w:val="000000"/>
                <w:highlight w:val="none"/>
                <w:lang w:val="en-US" w:eastAsia="zh-CN"/>
              </w:rPr>
              <w:t>3.2.3</w:t>
            </w:r>
          </w:p>
        </w:tc>
        <w:tc>
          <w:tcPr>
            <w:tcW w:w="1662" w:type="dxa"/>
            <w:tcBorders>
              <w:top w:val="single" w:color="auto" w:sz="4" w:space="0"/>
              <w:left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hint="eastAsia" w:ascii="Times New Roman" w:hAnsi="Times New Roman"/>
                <w:color w:val="000000"/>
                <w:highlight w:val="none"/>
              </w:rPr>
              <w:t>投标人最终得分</w:t>
            </w:r>
          </w:p>
        </w:tc>
        <w:tc>
          <w:tcPr>
            <w:tcW w:w="5494" w:type="dxa"/>
            <w:tcBorders>
              <w:top w:val="single" w:color="auto" w:sz="4" w:space="0"/>
              <w:left w:val="single" w:color="auto" w:sz="4" w:space="0"/>
              <w:right w:val="single" w:color="auto" w:sz="4" w:space="0"/>
            </w:tcBorders>
            <w:vAlign w:val="center"/>
          </w:tcPr>
          <w:p>
            <w:pPr>
              <w:spacing w:line="440" w:lineRule="exact"/>
              <w:rPr>
                <w:rFonts w:hint="eastAsia" w:ascii="Times New Roman" w:hAnsi="Times New Roman"/>
                <w:color w:val="000000"/>
                <w:highlight w:val="none"/>
              </w:rPr>
            </w:pPr>
            <w:r>
              <w:rPr>
                <w:rFonts w:hint="eastAsia" w:ascii="Times New Roman" w:hAnsi="Times New Roman"/>
                <w:color w:val="000000"/>
                <w:highlight w:val="none"/>
              </w:rPr>
              <w:t>（1）</w:t>
            </w:r>
            <w:r>
              <w:rPr>
                <w:rFonts w:ascii="Times New Roman" w:hAnsi="Times New Roman"/>
                <w:color w:val="000000"/>
                <w:highlight w:val="none"/>
              </w:rPr>
              <w:t>商务部分</w:t>
            </w:r>
            <w:r>
              <w:rPr>
                <w:rFonts w:hint="eastAsia" w:ascii="Times New Roman" w:hAnsi="Times New Roman"/>
                <w:color w:val="000000"/>
                <w:highlight w:val="none"/>
              </w:rPr>
              <w:t>（A）、</w:t>
            </w:r>
            <w:r>
              <w:rPr>
                <w:rFonts w:ascii="Times New Roman" w:hAnsi="Times New Roman"/>
                <w:highlight w:val="none"/>
              </w:rPr>
              <w:t>投标报价</w:t>
            </w:r>
            <w:r>
              <w:rPr>
                <w:rFonts w:hint="eastAsia" w:ascii="Times New Roman" w:hAnsi="Times New Roman"/>
                <w:color w:val="000000"/>
                <w:highlight w:val="none"/>
              </w:rPr>
              <w:t>（</w:t>
            </w:r>
            <w:r>
              <w:rPr>
                <w:rFonts w:hint="eastAsia" w:ascii="Times New Roman" w:hAnsi="Times New Roman"/>
                <w:color w:val="000000"/>
                <w:highlight w:val="none"/>
                <w:lang w:val="en-US" w:eastAsia="zh-CN"/>
              </w:rPr>
              <w:t>B</w:t>
            </w:r>
            <w:r>
              <w:rPr>
                <w:rFonts w:hint="eastAsia" w:ascii="Times New Roman" w:hAnsi="Times New Roman"/>
                <w:color w:val="000000"/>
                <w:highlight w:val="none"/>
              </w:rPr>
              <w:t>）、其他评审因素（</w:t>
            </w:r>
            <w:r>
              <w:rPr>
                <w:rFonts w:hint="eastAsia" w:ascii="Times New Roman" w:hAnsi="Times New Roman"/>
                <w:color w:val="000000"/>
                <w:highlight w:val="none"/>
                <w:lang w:val="en-US" w:eastAsia="zh-CN"/>
              </w:rPr>
              <w:t>C</w:t>
            </w:r>
            <w:r>
              <w:rPr>
                <w:rFonts w:hint="eastAsia" w:ascii="Times New Roman" w:hAnsi="Times New Roman"/>
                <w:color w:val="000000"/>
                <w:highlight w:val="none"/>
              </w:rPr>
              <w:t>）</w:t>
            </w:r>
            <w:r>
              <w:rPr>
                <w:rFonts w:hint="eastAsia" w:ascii="Times New Roman" w:hAnsi="Times New Roman"/>
                <w:color w:val="000000"/>
                <w:highlight w:val="none"/>
                <w:lang w:eastAsia="zh-CN"/>
              </w:rPr>
              <w:t>、</w:t>
            </w:r>
            <w:r>
              <w:rPr>
                <w:rFonts w:ascii="Times New Roman" w:hAnsi="Times New Roman"/>
                <w:color w:val="000000"/>
                <w:highlight w:val="none"/>
              </w:rPr>
              <w:t>技术部分</w:t>
            </w:r>
            <w:r>
              <w:rPr>
                <w:rFonts w:hint="eastAsia" w:ascii="Times New Roman" w:hAnsi="Times New Roman"/>
                <w:color w:val="000000"/>
                <w:highlight w:val="none"/>
              </w:rPr>
              <w:t>（</w:t>
            </w:r>
            <w:r>
              <w:rPr>
                <w:rFonts w:hint="eastAsia" w:ascii="Times New Roman" w:hAnsi="Times New Roman"/>
                <w:color w:val="000000"/>
                <w:highlight w:val="none"/>
                <w:lang w:val="en-US" w:eastAsia="zh-CN"/>
              </w:rPr>
              <w:t>D</w:t>
            </w:r>
            <w:r>
              <w:rPr>
                <w:rFonts w:hint="eastAsia" w:ascii="Times New Roman" w:hAnsi="Times New Roman"/>
                <w:color w:val="000000"/>
                <w:highlight w:val="none"/>
              </w:rPr>
              <w:t>）：所有评委相应评审项评分的算术平均值即为该投标人的该项评审因素最终得分。</w:t>
            </w:r>
          </w:p>
          <w:p>
            <w:pPr>
              <w:spacing w:line="440" w:lineRule="exact"/>
              <w:rPr>
                <w:rFonts w:hint="eastAsia" w:ascii="Times New Roman" w:hAnsi="Times New Roman"/>
                <w:color w:val="000000"/>
                <w:highlight w:val="none"/>
              </w:rPr>
            </w:pPr>
            <w:r>
              <w:rPr>
                <w:rFonts w:hint="eastAsia" w:ascii="Times New Roman" w:hAnsi="Times New Roman"/>
                <w:color w:val="000000"/>
                <w:highlight w:val="none"/>
              </w:rPr>
              <w:t>（</w:t>
            </w:r>
            <w:r>
              <w:rPr>
                <w:rFonts w:hint="eastAsia" w:ascii="Times New Roman" w:hAnsi="Times New Roman"/>
                <w:color w:val="000000"/>
                <w:highlight w:val="none"/>
                <w:lang w:val="en-US" w:eastAsia="zh-CN"/>
              </w:rPr>
              <w:t>2</w:t>
            </w:r>
            <w:r>
              <w:rPr>
                <w:rFonts w:hint="eastAsia" w:ascii="Times New Roman" w:hAnsi="Times New Roman"/>
                <w:color w:val="000000"/>
                <w:highlight w:val="none"/>
              </w:rPr>
              <w:t>）投标人最终得分=A+B+C+D。</w:t>
            </w:r>
          </w:p>
        </w:tc>
      </w:tr>
    </w:tbl>
    <w:p>
      <w:pPr>
        <w:rPr>
          <w:highlight w:val="none"/>
        </w:rPr>
      </w:pPr>
    </w:p>
    <w:p>
      <w:pPr>
        <w:jc w:val="center"/>
        <w:rPr>
          <w:rFonts w:hint="eastAsia" w:ascii="黑体" w:hAnsi="黑体" w:eastAsia="黑体" w:cs="黑体"/>
          <w:bCs/>
          <w:sz w:val="32"/>
          <w:szCs w:val="32"/>
          <w:highlight w:val="none"/>
        </w:rPr>
      </w:pPr>
    </w:p>
    <w:p>
      <w:pPr>
        <w:jc w:val="center"/>
        <w:rPr>
          <w:rFonts w:hint="eastAsia" w:ascii="黑体" w:hAnsi="黑体" w:eastAsia="黑体" w:cs="黑体"/>
          <w:bCs/>
          <w:sz w:val="32"/>
          <w:szCs w:val="32"/>
          <w:highlight w:val="none"/>
        </w:rPr>
      </w:pPr>
    </w:p>
    <w:p>
      <w:pPr>
        <w:jc w:val="center"/>
        <w:rPr>
          <w:rFonts w:hint="eastAsia" w:ascii="黑体" w:hAnsi="黑体" w:eastAsia="黑体" w:cs="黑体"/>
          <w:bCs/>
          <w:sz w:val="32"/>
          <w:szCs w:val="32"/>
          <w:highlight w:val="none"/>
        </w:rPr>
      </w:pPr>
    </w:p>
    <w:p>
      <w:pPr>
        <w:jc w:val="center"/>
        <w:rPr>
          <w:rFonts w:hint="eastAsia" w:ascii="黑体" w:hAnsi="黑体" w:eastAsia="黑体" w:cs="黑体"/>
          <w:bCs/>
          <w:sz w:val="32"/>
          <w:szCs w:val="32"/>
          <w:highlight w:val="none"/>
        </w:rPr>
      </w:pPr>
    </w:p>
    <w:p>
      <w:pPr>
        <w:jc w:val="center"/>
        <w:rPr>
          <w:rFonts w:hint="eastAsia" w:ascii="黑体" w:hAnsi="黑体" w:eastAsia="黑体" w:cs="黑体"/>
          <w:bCs/>
          <w:sz w:val="32"/>
          <w:szCs w:val="32"/>
          <w:highlight w:val="none"/>
        </w:rPr>
      </w:pPr>
    </w:p>
    <w:p>
      <w:pPr>
        <w:jc w:val="center"/>
        <w:rPr>
          <w:highlight w:val="none"/>
        </w:rPr>
      </w:pPr>
      <w:r>
        <w:rPr>
          <w:rFonts w:hint="eastAsia" w:ascii="黑体" w:hAnsi="黑体" w:eastAsia="黑体" w:cs="黑体"/>
          <w:bCs/>
          <w:sz w:val="32"/>
          <w:szCs w:val="32"/>
          <w:highlight w:val="none"/>
        </w:rPr>
        <w:t>评分标准表</w:t>
      </w:r>
    </w:p>
    <w:tbl>
      <w:tblPr>
        <w:tblStyle w:val="29"/>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124"/>
        <w:gridCol w:w="1662"/>
        <w:gridCol w:w="5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gridSpan w:val="2"/>
            <w:vAlign w:val="center"/>
          </w:tcPr>
          <w:p>
            <w:pPr>
              <w:spacing w:line="440" w:lineRule="exact"/>
              <w:jc w:val="center"/>
              <w:rPr>
                <w:rFonts w:ascii="Times New Roman" w:hAnsi="Times New Roman"/>
                <w:b/>
                <w:highlight w:val="none"/>
              </w:rPr>
            </w:pPr>
            <w:r>
              <w:rPr>
                <w:rFonts w:ascii="Times New Roman" w:hAnsi="Times New Roman"/>
                <w:b/>
                <w:highlight w:val="none"/>
              </w:rPr>
              <w:t>条款号</w:t>
            </w:r>
          </w:p>
        </w:tc>
        <w:tc>
          <w:tcPr>
            <w:tcW w:w="1662" w:type="dxa"/>
            <w:vAlign w:val="center"/>
          </w:tcPr>
          <w:p>
            <w:pPr>
              <w:spacing w:line="440" w:lineRule="exact"/>
              <w:jc w:val="center"/>
              <w:rPr>
                <w:rFonts w:ascii="Times New Roman" w:hAnsi="Times New Roman"/>
                <w:b/>
                <w:highlight w:val="none"/>
              </w:rPr>
            </w:pPr>
            <w:r>
              <w:rPr>
                <w:rFonts w:ascii="Times New Roman" w:hAnsi="Times New Roman"/>
                <w:b/>
                <w:highlight w:val="none"/>
              </w:rPr>
              <w:t>评分因素</w:t>
            </w:r>
          </w:p>
        </w:tc>
        <w:tc>
          <w:tcPr>
            <w:tcW w:w="5494" w:type="dxa"/>
            <w:vAlign w:val="center"/>
          </w:tcPr>
          <w:p>
            <w:pPr>
              <w:spacing w:line="440" w:lineRule="exact"/>
              <w:jc w:val="center"/>
              <w:rPr>
                <w:rFonts w:ascii="Times New Roman" w:hAnsi="Times New Roman"/>
                <w:b/>
                <w:highlight w:val="none"/>
              </w:rPr>
            </w:pPr>
            <w:r>
              <w:rPr>
                <w:rFonts w:ascii="Times New Roman" w:hAnsi="Times New Roman"/>
                <w:b/>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Merge w:val="restart"/>
            <w:vAlign w:val="center"/>
          </w:tcPr>
          <w:p>
            <w:pPr>
              <w:spacing w:line="440" w:lineRule="exact"/>
              <w:jc w:val="center"/>
              <w:rPr>
                <w:rFonts w:ascii="Times New Roman" w:hAnsi="Times New Roman"/>
                <w:highlight w:val="none"/>
              </w:rPr>
            </w:pPr>
            <w:r>
              <w:rPr>
                <w:rFonts w:ascii="Times New Roman" w:hAnsi="Times New Roman"/>
                <w:highlight w:val="none"/>
              </w:rPr>
              <w:t>2.2.4（1）</w:t>
            </w:r>
          </w:p>
        </w:tc>
        <w:tc>
          <w:tcPr>
            <w:tcW w:w="1124" w:type="dxa"/>
            <w:vMerge w:val="restart"/>
            <w:vAlign w:val="center"/>
          </w:tcPr>
          <w:p>
            <w:pPr>
              <w:spacing w:line="440" w:lineRule="exact"/>
              <w:jc w:val="center"/>
              <w:rPr>
                <w:rFonts w:ascii="Times New Roman" w:hAnsi="Times New Roman"/>
                <w:highlight w:val="none"/>
              </w:rPr>
            </w:pPr>
            <w:r>
              <w:rPr>
                <w:rFonts w:ascii="Times New Roman" w:hAnsi="Times New Roman"/>
                <w:highlight w:val="none"/>
              </w:rPr>
              <w:t>商务评分标准</w:t>
            </w:r>
          </w:p>
          <w:p>
            <w:pPr>
              <w:spacing w:line="440" w:lineRule="exact"/>
              <w:jc w:val="center"/>
              <w:rPr>
                <w:rFonts w:ascii="Times New Roman" w:hAnsi="Times New Roman"/>
                <w:highlight w:val="none"/>
              </w:rPr>
            </w:pPr>
            <w:r>
              <w:rPr>
                <w:rFonts w:hint="eastAsia" w:ascii="仿宋_GB2312" w:hAnsi="仿宋" w:eastAsia="仿宋_GB2312" w:cs="仿宋"/>
                <w:bCs/>
                <w:sz w:val="18"/>
                <w:szCs w:val="18"/>
                <w:highlight w:val="none"/>
              </w:rPr>
              <w:t>（</w:t>
            </w:r>
            <w:r>
              <w:rPr>
                <w:rFonts w:hint="eastAsia" w:ascii="仿宋_GB2312" w:hAnsi="仿宋" w:eastAsia="仿宋_GB2312" w:cs="仿宋"/>
                <w:bCs/>
                <w:sz w:val="18"/>
                <w:szCs w:val="18"/>
                <w:highlight w:val="none"/>
                <w:u w:val="single"/>
              </w:rPr>
              <w:t>A</w:t>
            </w:r>
            <w:r>
              <w:rPr>
                <w:rFonts w:hint="eastAsia" w:ascii="仿宋_GB2312" w:hAnsi="仿宋" w:eastAsia="仿宋_GB2312" w:cs="仿宋"/>
                <w:bCs/>
                <w:sz w:val="18"/>
                <w:szCs w:val="18"/>
                <w:highlight w:val="none"/>
              </w:rPr>
              <w:t>分）</w:t>
            </w:r>
          </w:p>
        </w:tc>
        <w:tc>
          <w:tcPr>
            <w:tcW w:w="1662" w:type="dxa"/>
            <w:vAlign w:val="center"/>
          </w:tcPr>
          <w:p>
            <w:pPr>
              <w:widowControl/>
              <w:jc w:val="center"/>
              <w:rPr>
                <w:rFonts w:ascii="Times New Roman" w:hAnsi="Times New Roman"/>
                <w:highlight w:val="none"/>
              </w:rPr>
            </w:pPr>
            <w:r>
              <w:rPr>
                <w:rFonts w:ascii="Times New Roman" w:hAnsi="Times New Roman"/>
                <w:highlight w:val="none"/>
              </w:rPr>
              <w:t>对投标人</w:t>
            </w:r>
            <w:r>
              <w:rPr>
                <w:rFonts w:ascii="Times New Roman" w:hAnsi="Times New Roman"/>
                <w:color w:val="000000"/>
                <w:highlight w:val="none"/>
              </w:rPr>
              <w:t>履约能力的评价</w:t>
            </w:r>
            <w:bookmarkStart w:id="505" w:name="_Toc361508645"/>
            <w:bookmarkStart w:id="506" w:name="_Toc152042363"/>
            <w:bookmarkStart w:id="507" w:name="_Toc247514010"/>
            <w:bookmarkStart w:id="508" w:name="_Toc352691532"/>
            <w:bookmarkStart w:id="509" w:name="_Toc300835007"/>
            <w:bookmarkStart w:id="510" w:name="_Toc369531576"/>
            <w:bookmarkStart w:id="511" w:name="_Toc384308271"/>
            <w:bookmarkStart w:id="512" w:name="_Toc144974553"/>
            <w:bookmarkStart w:id="513" w:name="_Toc247527611"/>
            <w:bookmarkStart w:id="514" w:name="_Toc152045586"/>
            <w:bookmarkStart w:id="515" w:name="_Toc12369"/>
          </w:p>
        </w:tc>
        <w:tc>
          <w:tcPr>
            <w:tcW w:w="5494" w:type="dxa"/>
            <w:vAlign w:val="center"/>
          </w:tcPr>
          <w:p>
            <w:pPr>
              <w:spacing w:line="440" w:lineRule="exact"/>
              <w:jc w:val="center"/>
              <w:rPr>
                <w:rFonts w:ascii="Times New Roman" w:hAnsi="Times New Roman"/>
                <w:highlight w:val="none"/>
              </w:rPr>
            </w:pPr>
            <w:r>
              <w:rPr>
                <w:rFonts w:ascii="Times New Roman" w:hAnsi="Times New Roman"/>
                <w:highlight w:val="none"/>
              </w:rPr>
              <w:t>……</w:t>
            </w:r>
          </w:p>
        </w:tc>
      </w:tr>
      <w:bookmarkEnd w:id="505"/>
      <w:bookmarkEnd w:id="506"/>
      <w:bookmarkEnd w:id="507"/>
      <w:bookmarkEnd w:id="508"/>
      <w:bookmarkEnd w:id="509"/>
      <w:bookmarkEnd w:id="510"/>
      <w:bookmarkEnd w:id="511"/>
      <w:bookmarkEnd w:id="512"/>
      <w:bookmarkEnd w:id="513"/>
      <w:bookmarkEnd w:id="514"/>
      <w:bookmarkEnd w:id="51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Merge w:val="continue"/>
          </w:tcPr>
          <w:p>
            <w:pPr>
              <w:rPr>
                <w:rFonts w:ascii="Times New Roman" w:hAnsi="Times New Roman"/>
                <w:highlight w:val="none"/>
              </w:rPr>
            </w:pPr>
          </w:p>
        </w:tc>
        <w:tc>
          <w:tcPr>
            <w:tcW w:w="1124" w:type="dxa"/>
            <w:vMerge w:val="continue"/>
          </w:tcPr>
          <w:p>
            <w:pPr>
              <w:rPr>
                <w:rFonts w:ascii="Times New Roman" w:hAnsi="Times New Roman"/>
                <w:highlight w:val="none"/>
              </w:rPr>
            </w:pPr>
          </w:p>
        </w:tc>
        <w:tc>
          <w:tcPr>
            <w:tcW w:w="1662" w:type="dxa"/>
            <w:vAlign w:val="center"/>
          </w:tcPr>
          <w:p>
            <w:pPr>
              <w:widowControl/>
              <w:jc w:val="center"/>
              <w:rPr>
                <w:rFonts w:ascii="Times New Roman" w:hAnsi="Times New Roman"/>
                <w:highlight w:val="none"/>
              </w:rPr>
            </w:pPr>
            <w:r>
              <w:rPr>
                <w:rFonts w:ascii="Times New Roman" w:hAnsi="Times New Roman"/>
                <w:highlight w:val="none"/>
              </w:rPr>
              <w:t>对招标文件商务条款的响应程度</w:t>
            </w:r>
          </w:p>
        </w:tc>
        <w:tc>
          <w:tcPr>
            <w:tcW w:w="5494" w:type="dxa"/>
            <w:vAlign w:val="center"/>
          </w:tcPr>
          <w:p>
            <w:pPr>
              <w:spacing w:line="440" w:lineRule="exact"/>
              <w:jc w:val="center"/>
              <w:rPr>
                <w:rFonts w:ascii="Times New Roman" w:hAnsi="Times New Roman"/>
                <w:highlight w:val="none"/>
              </w:rPr>
            </w:pPr>
            <w:r>
              <w:rPr>
                <w:rFonts w:ascii="Times New Roman" w:hAnsi="Times New Roman"/>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trPr>
        <w:tc>
          <w:tcPr>
            <w:tcW w:w="900" w:type="dxa"/>
            <w:vMerge w:val="continue"/>
          </w:tcPr>
          <w:p>
            <w:pPr>
              <w:rPr>
                <w:rFonts w:ascii="Times New Roman" w:hAnsi="Times New Roman"/>
                <w:highlight w:val="none"/>
              </w:rPr>
            </w:pPr>
          </w:p>
        </w:tc>
        <w:tc>
          <w:tcPr>
            <w:tcW w:w="1124" w:type="dxa"/>
            <w:vMerge w:val="continue"/>
          </w:tcPr>
          <w:p>
            <w:pPr>
              <w:rPr>
                <w:rFonts w:ascii="Times New Roman" w:hAnsi="Times New Roman"/>
                <w:highlight w:val="none"/>
              </w:rPr>
            </w:pPr>
          </w:p>
        </w:tc>
        <w:tc>
          <w:tcPr>
            <w:tcW w:w="1662" w:type="dxa"/>
            <w:vAlign w:val="center"/>
          </w:tcPr>
          <w:p>
            <w:pPr>
              <w:widowControl/>
              <w:jc w:val="center"/>
              <w:rPr>
                <w:rFonts w:ascii="Times New Roman" w:hAnsi="Times New Roman"/>
                <w:highlight w:val="none"/>
              </w:rPr>
            </w:pPr>
            <w:r>
              <w:rPr>
                <w:rFonts w:ascii="Times New Roman" w:hAnsi="Times New Roman"/>
                <w:color w:val="000000"/>
                <w:highlight w:val="none"/>
              </w:rPr>
              <w:t>投标材料的业绩</w:t>
            </w:r>
          </w:p>
        </w:tc>
        <w:tc>
          <w:tcPr>
            <w:tcW w:w="5494" w:type="dxa"/>
            <w:vAlign w:val="center"/>
          </w:tcPr>
          <w:p>
            <w:pPr>
              <w:spacing w:line="440" w:lineRule="exact"/>
              <w:jc w:val="center"/>
              <w:rPr>
                <w:rFonts w:ascii="Times New Roman" w:hAnsi="Times New Roman"/>
                <w:highlight w:val="none"/>
              </w:rPr>
            </w:pPr>
            <w:r>
              <w:rPr>
                <w:rFonts w:ascii="Times New Roman" w:hAnsi="Times New Roman"/>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Merge w:val="continue"/>
          </w:tcPr>
          <w:p>
            <w:pPr>
              <w:rPr>
                <w:rFonts w:ascii="Times New Roman" w:hAnsi="Times New Roman"/>
                <w:highlight w:val="none"/>
              </w:rPr>
            </w:pPr>
          </w:p>
        </w:tc>
        <w:tc>
          <w:tcPr>
            <w:tcW w:w="1124" w:type="dxa"/>
            <w:vMerge w:val="continue"/>
          </w:tcPr>
          <w:p>
            <w:pPr>
              <w:rPr>
                <w:rFonts w:ascii="Times New Roman" w:hAnsi="Times New Roman"/>
                <w:highlight w:val="none"/>
              </w:rPr>
            </w:pPr>
          </w:p>
        </w:tc>
        <w:tc>
          <w:tcPr>
            <w:tcW w:w="1662" w:type="dxa"/>
          </w:tcPr>
          <w:p>
            <w:pPr>
              <w:spacing w:line="440" w:lineRule="exact"/>
              <w:jc w:val="center"/>
              <w:rPr>
                <w:rFonts w:ascii="Times New Roman" w:hAnsi="Times New Roman"/>
                <w:highlight w:val="none"/>
              </w:rPr>
            </w:pPr>
            <w:r>
              <w:rPr>
                <w:rFonts w:ascii="Times New Roman" w:hAnsi="Times New Roman"/>
                <w:highlight w:val="none"/>
              </w:rPr>
              <w:t>……</w:t>
            </w:r>
          </w:p>
        </w:tc>
        <w:tc>
          <w:tcPr>
            <w:tcW w:w="5494" w:type="dxa"/>
            <w:vAlign w:val="center"/>
          </w:tcPr>
          <w:p>
            <w:pPr>
              <w:spacing w:line="440" w:lineRule="exact"/>
              <w:jc w:val="center"/>
              <w:rPr>
                <w:rFonts w:ascii="Times New Roman" w:hAnsi="Times New Roman"/>
                <w:highlight w:val="none"/>
              </w:rPr>
            </w:pPr>
            <w:r>
              <w:rPr>
                <w:rFonts w:ascii="Times New Roman" w:hAnsi="Times New Roman"/>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Merge w:val="restart"/>
            <w:vAlign w:val="center"/>
          </w:tcPr>
          <w:p>
            <w:pPr>
              <w:spacing w:line="440" w:lineRule="exact"/>
              <w:jc w:val="center"/>
              <w:rPr>
                <w:rFonts w:ascii="Times New Roman" w:hAnsi="Times New Roman"/>
                <w:highlight w:val="none"/>
              </w:rPr>
            </w:pPr>
            <w:r>
              <w:rPr>
                <w:rFonts w:ascii="Times New Roman" w:hAnsi="Times New Roman"/>
                <w:highlight w:val="none"/>
              </w:rPr>
              <w:t>2.2.4（</w:t>
            </w:r>
            <w:r>
              <w:rPr>
                <w:rFonts w:hint="eastAsia" w:ascii="Times New Roman" w:hAnsi="Times New Roman"/>
                <w:highlight w:val="none"/>
              </w:rPr>
              <w:t>2</w:t>
            </w:r>
            <w:r>
              <w:rPr>
                <w:rFonts w:ascii="Times New Roman" w:hAnsi="Times New Roman"/>
                <w:highlight w:val="none"/>
              </w:rPr>
              <w:t>）</w:t>
            </w:r>
          </w:p>
        </w:tc>
        <w:tc>
          <w:tcPr>
            <w:tcW w:w="1124" w:type="dxa"/>
            <w:vMerge w:val="restart"/>
            <w:vAlign w:val="center"/>
          </w:tcPr>
          <w:p>
            <w:pPr>
              <w:spacing w:line="440" w:lineRule="exact"/>
              <w:jc w:val="center"/>
              <w:rPr>
                <w:rFonts w:ascii="Times New Roman" w:hAnsi="Times New Roman"/>
                <w:highlight w:val="none"/>
              </w:rPr>
            </w:pPr>
            <w:r>
              <w:rPr>
                <w:rFonts w:ascii="Times New Roman" w:hAnsi="Times New Roman"/>
                <w:highlight w:val="none"/>
              </w:rPr>
              <w:t>投标报价评分标准</w:t>
            </w:r>
          </w:p>
          <w:p>
            <w:pPr>
              <w:spacing w:line="440" w:lineRule="exact"/>
              <w:jc w:val="center"/>
              <w:rPr>
                <w:rFonts w:ascii="Times New Roman" w:hAnsi="Times New Roman"/>
                <w:highlight w:val="none"/>
              </w:rPr>
            </w:pPr>
            <w:r>
              <w:rPr>
                <w:rFonts w:hint="eastAsia" w:ascii="仿宋_GB2312" w:hAnsi="仿宋" w:eastAsia="仿宋_GB2312" w:cs="仿宋"/>
                <w:bCs/>
                <w:sz w:val="18"/>
                <w:szCs w:val="18"/>
                <w:highlight w:val="none"/>
              </w:rPr>
              <w:t>（</w:t>
            </w:r>
            <w:r>
              <w:rPr>
                <w:rFonts w:hint="eastAsia" w:ascii="仿宋_GB2312" w:hAnsi="仿宋" w:eastAsia="仿宋_GB2312" w:cs="仿宋"/>
                <w:bCs/>
                <w:sz w:val="18"/>
                <w:szCs w:val="18"/>
                <w:highlight w:val="none"/>
                <w:u w:val="single"/>
                <w:lang w:val="en-US" w:eastAsia="zh-CN"/>
              </w:rPr>
              <w:t>B</w:t>
            </w:r>
            <w:r>
              <w:rPr>
                <w:rFonts w:hint="eastAsia" w:ascii="仿宋_GB2312" w:hAnsi="仿宋" w:eastAsia="仿宋_GB2312" w:cs="仿宋"/>
                <w:bCs/>
                <w:sz w:val="18"/>
                <w:szCs w:val="18"/>
                <w:highlight w:val="none"/>
              </w:rPr>
              <w:t>分）</w:t>
            </w:r>
          </w:p>
        </w:tc>
        <w:tc>
          <w:tcPr>
            <w:tcW w:w="1662" w:type="dxa"/>
            <w:vAlign w:val="center"/>
          </w:tcPr>
          <w:p>
            <w:pPr>
              <w:spacing w:line="420" w:lineRule="atLeast"/>
              <w:jc w:val="center"/>
              <w:rPr>
                <w:rFonts w:ascii="Times New Roman" w:hAnsi="Times New Roman"/>
                <w:highlight w:val="none"/>
              </w:rPr>
            </w:pPr>
            <w:r>
              <w:rPr>
                <w:rFonts w:hint="eastAsia" w:ascii="宋体" w:hAnsi="宋体" w:eastAsia="宋体" w:cs="宋体"/>
                <w:bCs/>
                <w:sz w:val="21"/>
                <w:szCs w:val="21"/>
                <w:highlight w:val="none"/>
              </w:rPr>
              <w:t>总报价（</w:t>
            </w:r>
            <w:r>
              <w:rPr>
                <w:rFonts w:hint="eastAsia" w:ascii="宋体" w:hAnsi="宋体" w:eastAsia="宋体" w:cs="宋体"/>
                <w:bCs/>
                <w:sz w:val="21"/>
                <w:szCs w:val="21"/>
                <w:highlight w:val="none"/>
                <w:lang w:val="en-US" w:eastAsia="zh-CN"/>
              </w:rPr>
              <w:t>B</w:t>
            </w:r>
            <w:r>
              <w:rPr>
                <w:rFonts w:hint="eastAsia" w:ascii="宋体" w:hAnsi="宋体" w:eastAsia="宋体" w:cs="宋体"/>
                <w:bCs/>
                <w:sz w:val="21"/>
                <w:szCs w:val="21"/>
                <w:highlight w:val="none"/>
              </w:rPr>
              <w:t>1分）</w:t>
            </w:r>
          </w:p>
        </w:tc>
        <w:tc>
          <w:tcPr>
            <w:tcW w:w="5494" w:type="dxa"/>
          </w:tcPr>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报价偏差率为F%时投标报价得满分</w:t>
            </w:r>
            <w:r>
              <w:rPr>
                <w:rFonts w:hint="eastAsia" w:ascii="宋体" w:hAnsi="宋体" w:eastAsia="宋体" w:cs="宋体"/>
                <w:sz w:val="21"/>
                <w:szCs w:val="21"/>
                <w:highlight w:val="none"/>
                <w:lang w:val="en-US" w:eastAsia="zh-CN"/>
              </w:rPr>
              <w:t>B</w:t>
            </w:r>
            <w:r>
              <w:rPr>
                <w:rFonts w:hint="eastAsia" w:ascii="宋体" w:hAnsi="宋体" w:eastAsia="宋体" w:cs="宋体"/>
                <w:sz w:val="21"/>
                <w:szCs w:val="21"/>
                <w:highlight w:val="none"/>
              </w:rPr>
              <w:t>1；报价偏差率为F％以上的，每上升一个百分点扣</w:t>
            </w:r>
            <w:r>
              <w:rPr>
                <w:rFonts w:hint="eastAsia" w:ascii="宋体" w:hAnsi="宋体" w:eastAsia="宋体" w:cs="宋体"/>
                <w:b/>
                <w:i/>
                <w:sz w:val="21"/>
                <w:szCs w:val="21"/>
                <w:highlight w:val="none"/>
                <w:u w:val="single"/>
              </w:rPr>
              <w:t>E</w:t>
            </w:r>
            <w:r>
              <w:rPr>
                <w:rFonts w:hint="eastAsia" w:ascii="宋体" w:hAnsi="宋体" w:eastAsia="宋体" w:cs="宋体"/>
                <w:b/>
                <w:i/>
                <w:sz w:val="21"/>
                <w:szCs w:val="21"/>
                <w:highlight w:val="none"/>
                <w:u w:val="single"/>
                <w:vertAlign w:val="subscript"/>
              </w:rPr>
              <w:t>1</w:t>
            </w:r>
            <w:r>
              <w:rPr>
                <w:rFonts w:hint="eastAsia" w:ascii="宋体" w:hAnsi="宋体" w:eastAsia="宋体" w:cs="宋体"/>
                <w:sz w:val="21"/>
                <w:szCs w:val="21"/>
                <w:highlight w:val="none"/>
              </w:rPr>
              <w:t>分，扣完为止（不得负分）；报价偏差率为F％以下的，每下降一个百分点扣</w:t>
            </w:r>
            <w:r>
              <w:rPr>
                <w:rFonts w:hint="eastAsia" w:ascii="宋体" w:hAnsi="宋体" w:eastAsia="宋体" w:cs="宋体"/>
                <w:b/>
                <w:i/>
                <w:sz w:val="21"/>
                <w:szCs w:val="21"/>
                <w:highlight w:val="none"/>
                <w:u w:val="single"/>
              </w:rPr>
              <w:t>E</w:t>
            </w:r>
            <w:r>
              <w:rPr>
                <w:rFonts w:hint="eastAsia" w:ascii="宋体" w:hAnsi="宋体" w:eastAsia="宋体" w:cs="宋体"/>
                <w:b/>
                <w:i/>
                <w:sz w:val="21"/>
                <w:szCs w:val="21"/>
                <w:highlight w:val="none"/>
                <w:u w:val="single"/>
                <w:vertAlign w:val="subscript"/>
              </w:rPr>
              <w:t>2</w:t>
            </w:r>
            <w:r>
              <w:rPr>
                <w:rFonts w:hint="eastAsia" w:ascii="宋体" w:hAnsi="宋体" w:eastAsia="宋体" w:cs="宋体"/>
                <w:sz w:val="21"/>
                <w:szCs w:val="21"/>
                <w:highlight w:val="none"/>
              </w:rPr>
              <w:t>分，扣完为止（不得负分）。</w:t>
            </w:r>
          </w:p>
          <w:p>
            <w:pPr>
              <w:spacing w:line="440" w:lineRule="exact"/>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投标报价得分计算公式：</w:t>
            </w:r>
          </w:p>
          <w:p>
            <w:pPr>
              <w:numPr>
                <w:ilvl w:val="0"/>
                <w:numId w:val="0"/>
              </w:numPr>
              <w:spacing w:line="44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报价偏差率大于F%时：投标总价得分=</w:t>
            </w:r>
            <w:r>
              <w:rPr>
                <w:rFonts w:hint="eastAsia" w:ascii="宋体" w:hAnsi="宋体" w:eastAsia="宋体" w:cs="宋体"/>
                <w:sz w:val="21"/>
                <w:szCs w:val="21"/>
                <w:highlight w:val="none"/>
                <w:lang w:val="en-US" w:eastAsia="zh-CN"/>
              </w:rPr>
              <w:t>B</w:t>
            </w:r>
            <w:r>
              <w:rPr>
                <w:rFonts w:hint="eastAsia" w:ascii="宋体" w:hAnsi="宋体" w:eastAsia="宋体" w:cs="宋体"/>
                <w:sz w:val="21"/>
                <w:szCs w:val="21"/>
                <w:highlight w:val="none"/>
              </w:rPr>
              <w:t>1 -</w:t>
            </w:r>
            <w:r>
              <w:rPr>
                <w:rFonts w:hint="eastAsia" w:ascii="宋体" w:hAnsi="宋体" w:eastAsia="宋体" w:cs="宋体"/>
                <w:sz w:val="21"/>
                <w:szCs w:val="21"/>
                <w:highlight w:val="none"/>
                <w:shd w:val="clear" w:color="auto" w:fill="FFFFFF"/>
              </w:rPr>
              <w:t>（</w:t>
            </w:r>
            <w:r>
              <w:rPr>
                <w:rFonts w:hint="eastAsia" w:ascii="宋体" w:hAnsi="宋体" w:eastAsia="宋体" w:cs="宋体"/>
                <w:sz w:val="21"/>
                <w:szCs w:val="21"/>
                <w:highlight w:val="none"/>
              </w:rPr>
              <w:t>P-F%</w:t>
            </w:r>
            <w:r>
              <w:rPr>
                <w:rFonts w:hint="eastAsia" w:ascii="宋体" w:hAnsi="宋体" w:eastAsia="宋体" w:cs="宋体"/>
                <w:sz w:val="21"/>
                <w:szCs w:val="21"/>
                <w:highlight w:val="none"/>
                <w:shd w:val="clear" w:color="auto" w:fill="FFFFFF"/>
              </w:rPr>
              <w:t>）</w:t>
            </w:r>
            <w:r>
              <w:rPr>
                <w:rFonts w:hint="eastAsia" w:ascii="宋体" w:hAnsi="宋体" w:eastAsia="宋体" w:cs="宋体"/>
                <w:sz w:val="21"/>
                <w:szCs w:val="21"/>
                <w:highlight w:val="none"/>
              </w:rPr>
              <w:t>*100*E</w:t>
            </w:r>
            <w:r>
              <w:rPr>
                <w:rFonts w:hint="eastAsia" w:ascii="宋体" w:hAnsi="宋体" w:eastAsia="宋体" w:cs="宋体"/>
                <w:sz w:val="21"/>
                <w:szCs w:val="21"/>
                <w:highlight w:val="none"/>
                <w:vertAlign w:val="subscript"/>
              </w:rPr>
              <w:t>1</w:t>
            </w:r>
            <w:r>
              <w:rPr>
                <w:rFonts w:hint="eastAsia" w:ascii="宋体" w:hAnsi="宋体" w:eastAsia="宋体" w:cs="宋体"/>
                <w:sz w:val="21"/>
                <w:szCs w:val="21"/>
                <w:highlight w:val="none"/>
              </w:rPr>
              <w:t>，且最低为0分。</w:t>
            </w:r>
          </w:p>
          <w:p>
            <w:pPr>
              <w:spacing w:line="440" w:lineRule="exact"/>
              <w:jc w:val="left"/>
              <w:rPr>
                <w:rFonts w:hint="eastAsia" w:ascii="宋体" w:hAnsi="宋体" w:eastAsia="宋体" w:cs="宋体"/>
                <w:sz w:val="21"/>
                <w:szCs w:val="21"/>
                <w:highlight w:val="none"/>
                <w:vertAlign w:val="subscript"/>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 xml:space="preserve">报价偏差率小于F%时：投标总价得分= </w:t>
            </w:r>
            <w:r>
              <w:rPr>
                <w:rFonts w:hint="eastAsia" w:ascii="宋体" w:hAnsi="宋体" w:eastAsia="宋体" w:cs="宋体"/>
                <w:sz w:val="21"/>
                <w:szCs w:val="21"/>
                <w:highlight w:val="none"/>
                <w:lang w:val="en-US" w:eastAsia="zh-CN"/>
              </w:rPr>
              <w:t>B</w:t>
            </w:r>
            <w:r>
              <w:rPr>
                <w:rFonts w:hint="eastAsia" w:ascii="宋体" w:hAnsi="宋体" w:eastAsia="宋体" w:cs="宋体"/>
                <w:sz w:val="21"/>
                <w:szCs w:val="21"/>
                <w:highlight w:val="none"/>
              </w:rPr>
              <w:t>1 +</w:t>
            </w:r>
            <w:r>
              <w:rPr>
                <w:rFonts w:hint="eastAsia" w:ascii="宋体" w:hAnsi="宋体" w:eastAsia="宋体" w:cs="宋体"/>
                <w:sz w:val="21"/>
                <w:szCs w:val="21"/>
                <w:highlight w:val="none"/>
                <w:shd w:val="clear" w:color="auto" w:fill="FFFFFF"/>
              </w:rPr>
              <w:t>（</w:t>
            </w:r>
            <w:r>
              <w:rPr>
                <w:rFonts w:hint="eastAsia" w:ascii="宋体" w:hAnsi="宋体" w:eastAsia="宋体" w:cs="宋体"/>
                <w:sz w:val="21"/>
                <w:szCs w:val="21"/>
                <w:highlight w:val="none"/>
              </w:rPr>
              <w:t>P-F%</w:t>
            </w:r>
            <w:r>
              <w:rPr>
                <w:rFonts w:hint="eastAsia" w:ascii="宋体" w:hAnsi="宋体" w:eastAsia="宋体" w:cs="宋体"/>
                <w:sz w:val="21"/>
                <w:szCs w:val="21"/>
                <w:highlight w:val="none"/>
                <w:shd w:val="clear" w:color="auto" w:fill="FFFFFF"/>
              </w:rPr>
              <w:t>）</w:t>
            </w:r>
            <w:r>
              <w:rPr>
                <w:rFonts w:hint="eastAsia" w:ascii="宋体" w:hAnsi="宋体" w:eastAsia="宋体" w:cs="宋体"/>
                <w:sz w:val="21"/>
                <w:szCs w:val="21"/>
                <w:highlight w:val="none"/>
              </w:rPr>
              <w:t>*100*E</w:t>
            </w:r>
            <w:r>
              <w:rPr>
                <w:rFonts w:hint="eastAsia" w:ascii="宋体" w:hAnsi="宋体" w:eastAsia="宋体" w:cs="宋体"/>
                <w:sz w:val="21"/>
                <w:szCs w:val="21"/>
                <w:highlight w:val="none"/>
                <w:vertAlign w:val="subscript"/>
              </w:rPr>
              <w:t>2</w:t>
            </w:r>
            <w:r>
              <w:rPr>
                <w:rFonts w:hint="eastAsia" w:ascii="宋体" w:hAnsi="宋体" w:eastAsia="宋体" w:cs="宋体"/>
                <w:sz w:val="21"/>
                <w:szCs w:val="21"/>
                <w:highlight w:val="none"/>
              </w:rPr>
              <w:t>，且最低为0分。</w:t>
            </w:r>
          </w:p>
          <w:p>
            <w:pPr>
              <w:spacing w:line="440" w:lineRule="exact"/>
              <w:ind w:left="391" w:leftChars="186" w:firstLine="27" w:firstLineChars="13"/>
              <w:rPr>
                <w:rFonts w:hint="eastAsia" w:ascii="宋体" w:hAnsi="宋体" w:eastAsia="宋体" w:cs="宋体"/>
                <w:sz w:val="21"/>
                <w:szCs w:val="21"/>
                <w:highlight w:val="none"/>
              </w:rPr>
            </w:pPr>
            <w:r>
              <w:rPr>
                <w:rFonts w:hint="eastAsia" w:ascii="宋体" w:hAnsi="宋体" w:eastAsia="宋体" w:cs="宋体"/>
                <w:sz w:val="21"/>
                <w:szCs w:val="21"/>
                <w:highlight w:val="none"/>
              </w:rPr>
              <w:t>其中：</w:t>
            </w:r>
          </w:p>
          <w:p>
            <w:pPr>
              <w:spacing w:line="44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B</w:t>
            </w:r>
            <w:r>
              <w:rPr>
                <w:rFonts w:hint="eastAsia" w:ascii="宋体" w:hAnsi="宋体" w:eastAsia="宋体" w:cs="宋体"/>
                <w:sz w:val="21"/>
                <w:szCs w:val="21"/>
                <w:highlight w:val="none"/>
              </w:rPr>
              <w:t>1：投标总价分值；</w:t>
            </w:r>
          </w:p>
          <w:p>
            <w:pPr>
              <w:spacing w:line="44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P：报价偏差率；</w:t>
            </w:r>
          </w:p>
          <w:p>
            <w:pPr>
              <w:spacing w:line="44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E</w:t>
            </w:r>
            <w:r>
              <w:rPr>
                <w:rFonts w:hint="eastAsia" w:ascii="宋体" w:hAnsi="宋体" w:eastAsia="宋体" w:cs="宋体"/>
                <w:sz w:val="21"/>
                <w:szCs w:val="21"/>
                <w:highlight w:val="none"/>
                <w:vertAlign w:val="subscript"/>
              </w:rPr>
              <w:t>1</w:t>
            </w:r>
            <w:r>
              <w:rPr>
                <w:rFonts w:hint="eastAsia" w:ascii="宋体" w:hAnsi="宋体" w:eastAsia="宋体" w:cs="宋体"/>
                <w:sz w:val="21"/>
                <w:szCs w:val="21"/>
                <w:highlight w:val="none"/>
              </w:rPr>
              <w:t>：报价偏差率大于F%时扣分值；</w:t>
            </w:r>
          </w:p>
          <w:p>
            <w:pPr>
              <w:spacing w:line="44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E</w:t>
            </w:r>
            <w:r>
              <w:rPr>
                <w:rFonts w:hint="eastAsia" w:ascii="宋体" w:hAnsi="宋体" w:eastAsia="宋体" w:cs="宋体"/>
                <w:sz w:val="21"/>
                <w:szCs w:val="21"/>
                <w:highlight w:val="none"/>
                <w:vertAlign w:val="subscript"/>
              </w:rPr>
              <w:t>2</w:t>
            </w:r>
            <w:r>
              <w:rPr>
                <w:rFonts w:hint="eastAsia" w:ascii="宋体" w:hAnsi="宋体" w:eastAsia="宋体" w:cs="宋体"/>
                <w:sz w:val="21"/>
                <w:szCs w:val="21"/>
                <w:highlight w:val="none"/>
              </w:rPr>
              <w:t>：报价偏差率小于F%时扣分值。</w:t>
            </w:r>
          </w:p>
          <w:p>
            <w:pPr>
              <w:spacing w:line="400" w:lineRule="exact"/>
              <w:rPr>
                <w:rFonts w:hint="eastAsia" w:ascii="宋体" w:hAnsi="宋体" w:eastAsia="宋体" w:cs="宋体"/>
                <w:sz w:val="21"/>
                <w:szCs w:val="21"/>
                <w:highlight w:val="none"/>
              </w:rPr>
            </w:pPr>
            <w:r>
              <w:rPr>
                <w:rFonts w:hint="eastAsia" w:ascii="宋体" w:hAnsi="宋体" w:eastAsia="宋体" w:cs="宋体"/>
                <w:b/>
                <w:bCs/>
                <w:sz w:val="21"/>
                <w:szCs w:val="21"/>
                <w:highlight w:val="none"/>
              </w:rPr>
              <w:t>投标总价得分</w:t>
            </w:r>
            <w:r>
              <w:rPr>
                <w:rFonts w:hint="eastAsia" w:ascii="宋体" w:hAnsi="宋体" w:eastAsia="宋体" w:cs="宋体"/>
                <w:sz w:val="21"/>
                <w:szCs w:val="21"/>
                <w:highlight w:val="none"/>
              </w:rPr>
              <w:t>保留小数点后二位数字，小数点后第三位“四舍五入”。</w:t>
            </w:r>
          </w:p>
          <w:p>
            <w:pPr>
              <w:spacing w:line="240" w:lineRule="auto"/>
              <w:jc w:val="left"/>
              <w:rPr>
                <w:rFonts w:ascii="Times New Roman" w:hAnsi="Times New Roman"/>
                <w:highlight w:val="none"/>
              </w:rPr>
            </w:pPr>
            <w:r>
              <w:rPr>
                <w:rFonts w:hint="eastAsia" w:ascii="宋体" w:hAnsi="宋体" w:eastAsia="宋体" w:cs="宋体"/>
                <w:sz w:val="21"/>
                <w:szCs w:val="21"/>
                <w:highlight w:val="none"/>
              </w:rPr>
              <w:t>其中：</w:t>
            </w:r>
            <w:r>
              <w:rPr>
                <w:rFonts w:hint="eastAsia" w:ascii="宋体" w:hAnsi="宋体" w:eastAsia="宋体" w:cs="宋体"/>
                <w:sz w:val="21"/>
                <w:szCs w:val="21"/>
                <w:highlight w:val="none"/>
                <w:lang w:val="en-US" w:eastAsia="zh-CN"/>
              </w:rPr>
              <w:t>B</w:t>
            </w:r>
            <w:r>
              <w:rPr>
                <w:rFonts w:hint="eastAsia" w:ascii="宋体" w:hAnsi="宋体" w:eastAsia="宋体" w:cs="宋体"/>
                <w:sz w:val="21"/>
                <w:szCs w:val="21"/>
                <w:highlight w:val="none"/>
              </w:rPr>
              <w:t>1=</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；F=</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；E</w:t>
            </w:r>
            <w:r>
              <w:rPr>
                <w:rFonts w:hint="eastAsia" w:ascii="宋体" w:hAnsi="宋体" w:eastAsia="宋体" w:cs="宋体"/>
                <w:sz w:val="21"/>
                <w:szCs w:val="21"/>
                <w:highlight w:val="none"/>
                <w:vertAlign w:val="subscript"/>
              </w:rPr>
              <w:t>1</w:t>
            </w:r>
            <w:r>
              <w:rPr>
                <w:rFonts w:hint="eastAsia" w:ascii="宋体" w:hAnsi="宋体" w:eastAsia="宋体" w:cs="宋体"/>
                <w:sz w:val="21"/>
                <w:szCs w:val="21"/>
                <w:highlight w:val="none"/>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；E</w:t>
            </w:r>
            <w:r>
              <w:rPr>
                <w:rFonts w:hint="eastAsia" w:ascii="宋体" w:hAnsi="宋体" w:eastAsia="宋体" w:cs="宋体"/>
                <w:sz w:val="21"/>
                <w:szCs w:val="21"/>
                <w:highlight w:val="none"/>
                <w:vertAlign w:val="subscript"/>
              </w:rPr>
              <w:t>2</w:t>
            </w:r>
            <w:r>
              <w:rPr>
                <w:rFonts w:hint="eastAsia" w:ascii="宋体" w:hAnsi="宋体" w:eastAsia="宋体" w:cs="宋体"/>
                <w:sz w:val="21"/>
                <w:szCs w:val="21"/>
                <w:highlight w:val="none"/>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r>
              <w:rPr>
                <w:rFonts w:hint="eastAsia" w:ascii="宋体" w:hAnsi="宋体" w:eastAsia="宋体" w:cs="宋体"/>
                <w:b/>
                <w:i/>
                <w:sz w:val="21"/>
                <w:szCs w:val="21"/>
                <w:highlight w:val="none"/>
              </w:rPr>
              <w:t>（招标人根据需要确定）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 w:hRule="atLeast"/>
        </w:trPr>
        <w:tc>
          <w:tcPr>
            <w:tcW w:w="900" w:type="dxa"/>
            <w:vMerge w:val="continue"/>
          </w:tcPr>
          <w:p>
            <w:pPr>
              <w:rPr>
                <w:rFonts w:ascii="Times New Roman" w:hAnsi="Times New Roman"/>
                <w:highlight w:val="none"/>
              </w:rPr>
            </w:pPr>
          </w:p>
        </w:tc>
        <w:tc>
          <w:tcPr>
            <w:tcW w:w="1124" w:type="dxa"/>
            <w:vMerge w:val="continue"/>
          </w:tcPr>
          <w:p>
            <w:pPr>
              <w:rPr>
                <w:rFonts w:ascii="Times New Roman" w:hAnsi="Times New Roman"/>
                <w:highlight w:val="none"/>
              </w:rPr>
            </w:pPr>
          </w:p>
        </w:tc>
        <w:tc>
          <w:tcPr>
            <w:tcW w:w="1662" w:type="dxa"/>
          </w:tcPr>
          <w:p>
            <w:pPr>
              <w:spacing w:line="440" w:lineRule="exact"/>
              <w:jc w:val="center"/>
              <w:rPr>
                <w:rFonts w:ascii="Times New Roman" w:hAnsi="Times New Roman"/>
                <w:color w:val="000000"/>
                <w:highlight w:val="none"/>
              </w:rPr>
            </w:pPr>
            <w:r>
              <w:rPr>
                <w:rFonts w:ascii="Times New Roman" w:hAnsi="Times New Roman"/>
                <w:color w:val="000000"/>
                <w:highlight w:val="none"/>
              </w:rPr>
              <w:t>……</w:t>
            </w:r>
          </w:p>
        </w:tc>
        <w:tc>
          <w:tcPr>
            <w:tcW w:w="5494" w:type="dxa"/>
          </w:tcPr>
          <w:p>
            <w:pPr>
              <w:spacing w:line="440" w:lineRule="exact"/>
              <w:jc w:val="center"/>
              <w:rPr>
                <w:rFonts w:ascii="Times New Roman" w:hAnsi="Times New Roman"/>
                <w:color w:val="000000"/>
                <w:highlight w:val="none"/>
              </w:rPr>
            </w:pPr>
            <w:r>
              <w:rPr>
                <w:rFonts w:ascii="Times New Roman" w:hAnsi="Times New Roman"/>
                <w:color w:val="000000"/>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900" w:type="dxa"/>
          </w:tcPr>
          <w:p>
            <w:pPr>
              <w:spacing w:line="440" w:lineRule="exact"/>
              <w:jc w:val="center"/>
              <w:rPr>
                <w:rFonts w:ascii="Times New Roman" w:hAnsi="Times New Roman"/>
                <w:color w:val="000000"/>
                <w:highlight w:val="none"/>
              </w:rPr>
            </w:pPr>
            <w:r>
              <w:rPr>
                <w:rFonts w:ascii="Times New Roman" w:hAnsi="Times New Roman"/>
                <w:color w:val="000000"/>
                <w:highlight w:val="none"/>
              </w:rPr>
              <w:t>2.2.4（</w:t>
            </w:r>
            <w:r>
              <w:rPr>
                <w:rFonts w:hint="eastAsia" w:ascii="Times New Roman" w:hAnsi="Times New Roman"/>
                <w:color w:val="000000"/>
                <w:highlight w:val="none"/>
              </w:rPr>
              <w:t>3</w:t>
            </w:r>
            <w:r>
              <w:rPr>
                <w:rFonts w:ascii="Times New Roman" w:hAnsi="Times New Roman"/>
                <w:color w:val="000000"/>
                <w:highlight w:val="none"/>
              </w:rPr>
              <w:t>）</w:t>
            </w:r>
          </w:p>
        </w:tc>
        <w:tc>
          <w:tcPr>
            <w:tcW w:w="1124" w:type="dxa"/>
          </w:tcPr>
          <w:p>
            <w:pPr>
              <w:spacing w:line="440" w:lineRule="exact"/>
              <w:jc w:val="center"/>
              <w:rPr>
                <w:rFonts w:ascii="Times New Roman" w:hAnsi="Times New Roman"/>
                <w:color w:val="000000"/>
                <w:highlight w:val="none"/>
              </w:rPr>
            </w:pPr>
            <w:r>
              <w:rPr>
                <w:rFonts w:ascii="Times New Roman" w:hAnsi="Times New Roman"/>
                <w:color w:val="000000"/>
                <w:highlight w:val="none"/>
              </w:rPr>
              <w:t>其他因素评分标准</w:t>
            </w:r>
          </w:p>
          <w:p>
            <w:pPr>
              <w:spacing w:line="440" w:lineRule="exact"/>
              <w:jc w:val="center"/>
              <w:rPr>
                <w:rFonts w:ascii="Times New Roman" w:hAnsi="Times New Roman"/>
                <w:color w:val="000000"/>
                <w:highlight w:val="none"/>
              </w:rPr>
            </w:pPr>
            <w:r>
              <w:rPr>
                <w:rFonts w:hint="eastAsia" w:ascii="仿宋_GB2312" w:hAnsi="仿宋" w:eastAsia="仿宋_GB2312" w:cs="仿宋"/>
                <w:bCs/>
                <w:sz w:val="18"/>
                <w:szCs w:val="18"/>
                <w:highlight w:val="none"/>
              </w:rPr>
              <w:t>（</w:t>
            </w:r>
            <w:r>
              <w:rPr>
                <w:rFonts w:hint="eastAsia" w:ascii="仿宋_GB2312" w:hAnsi="仿宋" w:eastAsia="仿宋_GB2312" w:cs="仿宋"/>
                <w:bCs/>
                <w:sz w:val="18"/>
                <w:szCs w:val="18"/>
                <w:highlight w:val="none"/>
                <w:u w:val="single"/>
                <w:lang w:val="en-US" w:eastAsia="zh-CN"/>
              </w:rPr>
              <w:t>C</w:t>
            </w:r>
            <w:r>
              <w:rPr>
                <w:rFonts w:hint="eastAsia" w:ascii="仿宋_GB2312" w:hAnsi="仿宋" w:eastAsia="仿宋_GB2312" w:cs="仿宋"/>
                <w:bCs/>
                <w:sz w:val="18"/>
                <w:szCs w:val="18"/>
                <w:highlight w:val="none"/>
              </w:rPr>
              <w:t>分）</w:t>
            </w:r>
          </w:p>
        </w:tc>
        <w:tc>
          <w:tcPr>
            <w:tcW w:w="1662" w:type="dxa"/>
          </w:tcPr>
          <w:p>
            <w:pPr>
              <w:spacing w:line="440" w:lineRule="exact"/>
              <w:jc w:val="center"/>
              <w:rPr>
                <w:rFonts w:ascii="Times New Roman" w:hAnsi="Times New Roman"/>
                <w:color w:val="000000"/>
                <w:highlight w:val="none"/>
              </w:rPr>
            </w:pPr>
            <w:r>
              <w:rPr>
                <w:rFonts w:ascii="Times New Roman" w:hAnsi="Times New Roman"/>
                <w:color w:val="000000"/>
                <w:highlight w:val="none"/>
              </w:rPr>
              <w:t>……</w:t>
            </w:r>
          </w:p>
        </w:tc>
        <w:tc>
          <w:tcPr>
            <w:tcW w:w="5494" w:type="dxa"/>
          </w:tcPr>
          <w:p>
            <w:pPr>
              <w:spacing w:line="440" w:lineRule="exact"/>
              <w:jc w:val="center"/>
              <w:rPr>
                <w:rFonts w:ascii="Times New Roman" w:hAnsi="Times New Roman"/>
                <w:color w:val="000000"/>
                <w:highlight w:val="none"/>
              </w:rPr>
            </w:pPr>
            <w:r>
              <w:rPr>
                <w:rFonts w:ascii="Times New Roman" w:hAnsi="Times New Roman"/>
                <w:color w:val="000000"/>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0" w:type="dxa"/>
            <w:vMerge w:val="restart"/>
            <w:vAlign w:val="center"/>
          </w:tcPr>
          <w:p>
            <w:pPr>
              <w:spacing w:line="440" w:lineRule="exact"/>
              <w:jc w:val="center"/>
              <w:rPr>
                <w:rFonts w:ascii="Times New Roman" w:hAnsi="Times New Roman"/>
                <w:color w:val="000000"/>
                <w:highlight w:val="none"/>
              </w:rPr>
            </w:pPr>
            <w:r>
              <w:rPr>
                <w:rFonts w:ascii="Times New Roman" w:hAnsi="Times New Roman"/>
                <w:highlight w:val="none"/>
              </w:rPr>
              <w:t>2.2.4（</w:t>
            </w:r>
            <w:r>
              <w:rPr>
                <w:rFonts w:hint="eastAsia" w:ascii="Times New Roman" w:hAnsi="Times New Roman"/>
                <w:highlight w:val="none"/>
              </w:rPr>
              <w:t>4</w:t>
            </w:r>
            <w:r>
              <w:rPr>
                <w:rFonts w:ascii="Times New Roman" w:hAnsi="Times New Roman"/>
                <w:highlight w:val="none"/>
              </w:rPr>
              <w:t>）</w:t>
            </w:r>
          </w:p>
        </w:tc>
        <w:tc>
          <w:tcPr>
            <w:tcW w:w="1124" w:type="dxa"/>
            <w:vMerge w:val="restart"/>
            <w:vAlign w:val="center"/>
          </w:tcPr>
          <w:p>
            <w:pPr>
              <w:spacing w:line="440" w:lineRule="exact"/>
              <w:jc w:val="center"/>
              <w:rPr>
                <w:rFonts w:ascii="Times New Roman" w:hAnsi="Times New Roman"/>
                <w:highlight w:val="none"/>
              </w:rPr>
            </w:pPr>
            <w:r>
              <w:rPr>
                <w:rFonts w:ascii="Times New Roman" w:hAnsi="Times New Roman"/>
                <w:highlight w:val="none"/>
              </w:rPr>
              <w:t>技术评分标准</w:t>
            </w:r>
          </w:p>
          <w:p>
            <w:pPr>
              <w:spacing w:line="440" w:lineRule="exact"/>
              <w:jc w:val="center"/>
              <w:rPr>
                <w:rFonts w:ascii="Times New Roman" w:hAnsi="Times New Roman"/>
                <w:highlight w:val="none"/>
              </w:rPr>
            </w:pPr>
            <w:r>
              <w:rPr>
                <w:rFonts w:hint="eastAsia" w:ascii="仿宋_GB2312" w:hAnsi="仿宋" w:eastAsia="仿宋_GB2312" w:cs="仿宋"/>
                <w:bCs/>
                <w:sz w:val="18"/>
                <w:szCs w:val="18"/>
                <w:highlight w:val="none"/>
              </w:rPr>
              <w:t>（</w:t>
            </w:r>
            <w:r>
              <w:rPr>
                <w:rFonts w:hint="eastAsia" w:ascii="仿宋_GB2312" w:hAnsi="仿宋" w:eastAsia="仿宋_GB2312" w:cs="仿宋"/>
                <w:bCs/>
                <w:sz w:val="18"/>
                <w:szCs w:val="18"/>
                <w:highlight w:val="none"/>
                <w:u w:val="single"/>
                <w:lang w:val="en-US" w:eastAsia="zh-CN"/>
              </w:rPr>
              <w:t>D</w:t>
            </w:r>
            <w:r>
              <w:rPr>
                <w:rFonts w:hint="eastAsia" w:ascii="仿宋_GB2312" w:hAnsi="仿宋" w:eastAsia="仿宋_GB2312" w:cs="仿宋"/>
                <w:bCs/>
                <w:sz w:val="18"/>
                <w:szCs w:val="18"/>
                <w:highlight w:val="none"/>
              </w:rPr>
              <w:t>分）</w:t>
            </w:r>
          </w:p>
        </w:tc>
        <w:tc>
          <w:tcPr>
            <w:tcW w:w="1662" w:type="dxa"/>
            <w:vAlign w:val="center"/>
          </w:tcPr>
          <w:p>
            <w:pPr>
              <w:widowControl/>
              <w:spacing w:line="240" w:lineRule="auto"/>
              <w:jc w:val="center"/>
              <w:rPr>
                <w:rFonts w:ascii="Times New Roman" w:hAnsi="Times New Roman"/>
                <w:color w:val="000000"/>
                <w:highlight w:val="none"/>
              </w:rPr>
            </w:pPr>
            <w:r>
              <w:rPr>
                <w:rFonts w:hint="eastAsia" w:ascii="Times New Roman" w:hAnsi="Times New Roman"/>
                <w:kern w:val="2"/>
                <w:highlight w:val="none"/>
              </w:rPr>
              <w:t>对</w:t>
            </w:r>
            <w:r>
              <w:rPr>
                <w:rFonts w:ascii="Times New Roman" w:hAnsi="Times New Roman"/>
                <w:highlight w:val="none"/>
              </w:rPr>
              <w:t>投标材料整体</w:t>
            </w:r>
            <w:r>
              <w:rPr>
                <w:rFonts w:hint="eastAsia" w:ascii="Times New Roman" w:hAnsi="Times New Roman"/>
                <w:kern w:val="2"/>
                <w:highlight w:val="none"/>
              </w:rPr>
              <w:t>评价</w:t>
            </w:r>
          </w:p>
        </w:tc>
        <w:tc>
          <w:tcPr>
            <w:tcW w:w="5494" w:type="dxa"/>
            <w:vAlign w:val="center"/>
          </w:tcPr>
          <w:p>
            <w:pPr>
              <w:spacing w:line="440" w:lineRule="exact"/>
              <w:jc w:val="center"/>
              <w:rPr>
                <w:rFonts w:ascii="Times New Roman" w:hAnsi="Times New Roman"/>
                <w:color w:val="000000"/>
                <w:highlight w:val="none"/>
              </w:rPr>
            </w:pPr>
            <w:r>
              <w:rPr>
                <w:rFonts w:ascii="Times New Roman" w:hAnsi="Times New Roman"/>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0" w:type="dxa"/>
            <w:vMerge w:val="continue"/>
            <w:vAlign w:val="center"/>
          </w:tcPr>
          <w:p>
            <w:pPr>
              <w:spacing w:line="440" w:lineRule="exact"/>
              <w:jc w:val="center"/>
              <w:rPr>
                <w:rFonts w:ascii="Times New Roman" w:hAnsi="Times New Roman"/>
                <w:color w:val="000000"/>
                <w:highlight w:val="none"/>
              </w:rPr>
            </w:pPr>
          </w:p>
        </w:tc>
        <w:tc>
          <w:tcPr>
            <w:tcW w:w="1124" w:type="dxa"/>
            <w:vMerge w:val="continue"/>
          </w:tcPr>
          <w:p>
            <w:pPr>
              <w:spacing w:line="440" w:lineRule="exact"/>
              <w:jc w:val="center"/>
              <w:rPr>
                <w:rFonts w:ascii="Times New Roman" w:hAnsi="Times New Roman"/>
                <w:color w:val="000000"/>
                <w:highlight w:val="none"/>
              </w:rPr>
            </w:pPr>
          </w:p>
        </w:tc>
        <w:tc>
          <w:tcPr>
            <w:tcW w:w="1662" w:type="dxa"/>
            <w:vAlign w:val="center"/>
          </w:tcPr>
          <w:p>
            <w:pPr>
              <w:widowControl/>
              <w:spacing w:line="240" w:lineRule="auto"/>
              <w:jc w:val="center"/>
              <w:rPr>
                <w:rFonts w:ascii="Times New Roman" w:hAnsi="Times New Roman"/>
                <w:color w:val="000000"/>
                <w:highlight w:val="none"/>
              </w:rPr>
            </w:pPr>
            <w:r>
              <w:rPr>
                <w:rFonts w:hint="eastAsia" w:ascii="Times New Roman" w:hAnsi="Times New Roman"/>
                <w:kern w:val="2"/>
                <w:highlight w:val="none"/>
              </w:rPr>
              <w:t>投标材料质量标准的响应程度</w:t>
            </w:r>
          </w:p>
        </w:tc>
        <w:tc>
          <w:tcPr>
            <w:tcW w:w="5494" w:type="dxa"/>
            <w:vAlign w:val="center"/>
          </w:tcPr>
          <w:p>
            <w:pPr>
              <w:spacing w:line="440" w:lineRule="exact"/>
              <w:jc w:val="center"/>
              <w:rPr>
                <w:rFonts w:ascii="Times New Roman" w:hAnsi="Times New Roman"/>
                <w:color w:val="000000"/>
                <w:highlight w:val="none"/>
              </w:rPr>
            </w:pPr>
            <w:r>
              <w:rPr>
                <w:rFonts w:ascii="Times New Roman" w:hAnsi="Times New Roman"/>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0" w:type="dxa"/>
            <w:vMerge w:val="continue"/>
          </w:tcPr>
          <w:p>
            <w:pPr>
              <w:spacing w:line="440" w:lineRule="exact"/>
              <w:jc w:val="center"/>
              <w:rPr>
                <w:rFonts w:ascii="Times New Roman" w:hAnsi="Times New Roman"/>
                <w:color w:val="000000"/>
                <w:highlight w:val="none"/>
              </w:rPr>
            </w:pPr>
          </w:p>
        </w:tc>
        <w:tc>
          <w:tcPr>
            <w:tcW w:w="1124" w:type="dxa"/>
            <w:vMerge w:val="continue"/>
          </w:tcPr>
          <w:p>
            <w:pPr>
              <w:spacing w:line="440" w:lineRule="exact"/>
              <w:jc w:val="center"/>
              <w:rPr>
                <w:rFonts w:ascii="Times New Roman" w:hAnsi="Times New Roman"/>
                <w:color w:val="000000"/>
                <w:highlight w:val="none"/>
              </w:rPr>
            </w:pPr>
          </w:p>
        </w:tc>
        <w:tc>
          <w:tcPr>
            <w:tcW w:w="1662" w:type="dxa"/>
            <w:vAlign w:val="center"/>
          </w:tcPr>
          <w:p>
            <w:pPr>
              <w:widowControl/>
              <w:spacing w:line="240" w:lineRule="auto"/>
              <w:jc w:val="center"/>
              <w:rPr>
                <w:rFonts w:ascii="Times New Roman" w:hAnsi="Times New Roman"/>
                <w:color w:val="000000"/>
                <w:highlight w:val="none"/>
              </w:rPr>
            </w:pPr>
            <w:r>
              <w:rPr>
                <w:rFonts w:hint="eastAsia" w:ascii="Times New Roman" w:hAnsi="Times New Roman"/>
                <w:kern w:val="2"/>
                <w:highlight w:val="none"/>
              </w:rPr>
              <w:t>对投标人相关服务能力的评价</w:t>
            </w:r>
          </w:p>
        </w:tc>
        <w:tc>
          <w:tcPr>
            <w:tcW w:w="5494" w:type="dxa"/>
            <w:vAlign w:val="center"/>
          </w:tcPr>
          <w:p>
            <w:pPr>
              <w:spacing w:line="440" w:lineRule="exact"/>
              <w:jc w:val="center"/>
              <w:rPr>
                <w:rFonts w:ascii="Times New Roman" w:hAnsi="Times New Roman"/>
                <w:color w:val="000000"/>
                <w:highlight w:val="none"/>
              </w:rPr>
            </w:pPr>
            <w:r>
              <w:rPr>
                <w:rFonts w:ascii="Times New Roman" w:hAnsi="Times New Roman"/>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0" w:type="dxa"/>
            <w:vMerge w:val="continue"/>
          </w:tcPr>
          <w:p>
            <w:pPr>
              <w:spacing w:line="440" w:lineRule="exact"/>
              <w:jc w:val="center"/>
              <w:rPr>
                <w:rFonts w:ascii="Times New Roman" w:hAnsi="Times New Roman"/>
                <w:color w:val="000000"/>
                <w:highlight w:val="none"/>
              </w:rPr>
            </w:pPr>
          </w:p>
        </w:tc>
        <w:tc>
          <w:tcPr>
            <w:tcW w:w="1124" w:type="dxa"/>
            <w:vMerge w:val="continue"/>
          </w:tcPr>
          <w:p>
            <w:pPr>
              <w:spacing w:line="440" w:lineRule="exact"/>
              <w:jc w:val="center"/>
              <w:rPr>
                <w:rFonts w:ascii="Times New Roman" w:hAnsi="Times New Roman"/>
                <w:color w:val="000000"/>
                <w:highlight w:val="none"/>
              </w:rPr>
            </w:pPr>
          </w:p>
        </w:tc>
        <w:tc>
          <w:tcPr>
            <w:tcW w:w="1662" w:type="dxa"/>
            <w:vAlign w:val="center"/>
          </w:tcPr>
          <w:p>
            <w:pPr>
              <w:widowControl/>
              <w:spacing w:line="240" w:lineRule="auto"/>
              <w:jc w:val="center"/>
              <w:rPr>
                <w:rFonts w:ascii="Times New Roman" w:hAnsi="Times New Roman"/>
                <w:color w:val="000000"/>
                <w:highlight w:val="none"/>
              </w:rPr>
            </w:pPr>
            <w:r>
              <w:rPr>
                <w:rFonts w:ascii="Times New Roman" w:hAnsi="Times New Roman"/>
                <w:highlight w:val="none"/>
              </w:rPr>
              <w:t>……</w:t>
            </w:r>
          </w:p>
        </w:tc>
        <w:tc>
          <w:tcPr>
            <w:tcW w:w="5494" w:type="dxa"/>
            <w:vAlign w:val="center"/>
          </w:tcPr>
          <w:p>
            <w:pPr>
              <w:spacing w:line="440" w:lineRule="exact"/>
              <w:jc w:val="center"/>
              <w:rPr>
                <w:rFonts w:ascii="Times New Roman" w:hAnsi="Times New Roman"/>
                <w:color w:val="000000"/>
                <w:highlight w:val="none"/>
              </w:rPr>
            </w:pPr>
            <w:r>
              <w:rPr>
                <w:rFonts w:ascii="Times New Roman" w:hAnsi="Times New Roman"/>
                <w:highlight w:val="none"/>
              </w:rPr>
              <w:t>……</w:t>
            </w:r>
          </w:p>
        </w:tc>
      </w:tr>
    </w:tbl>
    <w:p>
      <w:pPr>
        <w:spacing w:line="400" w:lineRule="exact"/>
        <w:rPr>
          <w:rFonts w:ascii="Times New Roman" w:hAnsi="Times New Roman"/>
          <w:color w:val="000000"/>
          <w:highlight w:val="none"/>
        </w:rPr>
      </w:pPr>
      <w:r>
        <w:rPr>
          <w:rFonts w:ascii="Times New Roman" w:hAnsi="Times New Roman"/>
          <w:color w:val="000000"/>
          <w:highlight w:val="none"/>
        </w:rPr>
        <w:br w:type="page"/>
      </w:r>
    </w:p>
    <w:p>
      <w:pPr>
        <w:pStyle w:val="3"/>
        <w:rPr>
          <w:rFonts w:ascii="Times New Roman" w:hAnsi="Times New Roman"/>
          <w:color w:val="000000"/>
          <w:highlight w:val="none"/>
        </w:rPr>
      </w:pPr>
      <w:bookmarkStart w:id="516" w:name="_Toc1383406631"/>
      <w:r>
        <w:rPr>
          <w:rFonts w:ascii="Times New Roman" w:hAnsi="Times New Roman"/>
          <w:color w:val="000000"/>
          <w:highlight w:val="none"/>
        </w:rPr>
        <w:t>1. 评标方法</w:t>
      </w:r>
      <w:bookmarkEnd w:id="516"/>
    </w:p>
    <w:p>
      <w:pPr>
        <w:spacing w:line="360" w:lineRule="auto"/>
        <w:ind w:firstLine="420" w:firstLineChars="200"/>
        <w:rPr>
          <w:rFonts w:ascii="Times New Roman" w:hAnsi="Times New Roman"/>
          <w:color w:val="000000"/>
          <w:highlight w:val="none"/>
        </w:rPr>
      </w:pPr>
      <w:r>
        <w:rPr>
          <w:rFonts w:ascii="Times New Roman" w:hAnsi="Times New Roman"/>
          <w:color w:val="000000"/>
          <w:highlight w:val="none"/>
        </w:rPr>
        <w:t>本次评标采用综合评估法。评标委员会对满足招标文件实质性要求的投标文件，按照本章第2.2款规定的评分标准进行打分，并按得分由高到低顺序推荐中标候选人，或根据招标人授权直接确定中标人，但投标报价低于其成本的除</w:t>
      </w:r>
      <w:bookmarkStart w:id="517" w:name="_Toc152045598"/>
      <w:bookmarkStart w:id="518" w:name="_Toc247527623"/>
      <w:bookmarkStart w:id="519" w:name="_Toc144974565"/>
      <w:bookmarkStart w:id="520" w:name="_Toc361508646"/>
      <w:bookmarkStart w:id="521" w:name="_Toc247514022"/>
      <w:bookmarkStart w:id="522" w:name="_Toc300835008"/>
      <w:bookmarkStart w:id="523" w:name="_Toc384308272"/>
      <w:bookmarkStart w:id="524" w:name="_Toc152042375"/>
      <w:bookmarkStart w:id="525" w:name="_Toc352691533"/>
      <w:bookmarkStart w:id="526" w:name="_Toc4497"/>
      <w:bookmarkStart w:id="527" w:name="_Toc369531577"/>
      <w:r>
        <w:rPr>
          <w:rFonts w:ascii="Times New Roman" w:hAnsi="Times New Roman"/>
          <w:color w:val="000000"/>
          <w:highlight w:val="none"/>
        </w:rPr>
        <w:t>外。综合评分相等</w:t>
      </w:r>
      <w:bookmarkEnd w:id="517"/>
      <w:bookmarkEnd w:id="518"/>
      <w:bookmarkEnd w:id="519"/>
      <w:bookmarkEnd w:id="520"/>
      <w:bookmarkEnd w:id="521"/>
      <w:bookmarkEnd w:id="522"/>
      <w:bookmarkEnd w:id="523"/>
      <w:bookmarkEnd w:id="524"/>
      <w:r>
        <w:rPr>
          <w:rFonts w:ascii="Times New Roman" w:hAnsi="Times New Roman"/>
          <w:color w:val="000000"/>
          <w:highlight w:val="none"/>
        </w:rPr>
        <w:t>时，以投标报价低的</w:t>
      </w:r>
      <w:bookmarkEnd w:id="525"/>
      <w:bookmarkEnd w:id="526"/>
      <w:bookmarkEnd w:id="527"/>
      <w:r>
        <w:rPr>
          <w:rFonts w:ascii="Times New Roman" w:hAnsi="Times New Roman"/>
          <w:color w:val="000000"/>
          <w:highlight w:val="none"/>
        </w:rPr>
        <w:t>优</w:t>
      </w:r>
      <w:bookmarkStart w:id="528" w:name="_Toc152042376"/>
      <w:bookmarkStart w:id="529" w:name="_Toc384308273"/>
      <w:bookmarkStart w:id="530" w:name="_Toc152045599"/>
      <w:bookmarkStart w:id="531" w:name="_Toc361508647"/>
      <w:bookmarkStart w:id="532" w:name="_Toc352691534"/>
      <w:bookmarkStart w:id="533" w:name="_Toc369531578"/>
      <w:bookmarkStart w:id="534" w:name="_Toc300835009"/>
      <w:bookmarkStart w:id="535" w:name="_Toc247514023"/>
      <w:bookmarkStart w:id="536" w:name="_Toc39"/>
      <w:bookmarkStart w:id="537" w:name="_Toc144974566"/>
      <w:bookmarkStart w:id="538" w:name="_Toc247527624"/>
      <w:r>
        <w:rPr>
          <w:rFonts w:ascii="Times New Roman" w:hAnsi="Times New Roman"/>
          <w:color w:val="000000"/>
          <w:highlight w:val="none"/>
        </w:rPr>
        <w:t>先；投标报价也相等</w:t>
      </w:r>
      <w:bookmarkEnd w:id="528"/>
      <w:bookmarkEnd w:id="529"/>
      <w:bookmarkEnd w:id="530"/>
      <w:bookmarkEnd w:id="531"/>
      <w:bookmarkEnd w:id="532"/>
      <w:bookmarkEnd w:id="533"/>
      <w:bookmarkEnd w:id="534"/>
      <w:bookmarkEnd w:id="535"/>
      <w:bookmarkEnd w:id="536"/>
      <w:bookmarkEnd w:id="537"/>
      <w:bookmarkEnd w:id="538"/>
      <w:r>
        <w:rPr>
          <w:rFonts w:ascii="Times New Roman" w:hAnsi="Times New Roman"/>
          <w:color w:val="000000"/>
          <w:highlight w:val="none"/>
        </w:rPr>
        <w:t>的</w:t>
      </w:r>
      <w:r>
        <w:rPr>
          <w:rFonts w:hint="eastAsia" w:ascii="Times New Roman" w:hAnsi="Times New Roman"/>
          <w:color w:val="000000"/>
          <w:highlight w:val="none"/>
        </w:rPr>
        <w:t>，以</w:t>
      </w:r>
      <w:r>
        <w:rPr>
          <w:rFonts w:ascii="Times New Roman" w:hAnsi="Times New Roman"/>
          <w:color w:val="000000"/>
          <w:highlight w:val="none"/>
        </w:rPr>
        <w:t>技术得分高的优先</w:t>
      </w:r>
      <w:r>
        <w:rPr>
          <w:rFonts w:hint="eastAsia" w:ascii="Times New Roman" w:hAnsi="Times New Roman"/>
          <w:color w:val="000000"/>
          <w:highlight w:val="none"/>
        </w:rPr>
        <w:t>；</w:t>
      </w:r>
      <w:r>
        <w:rPr>
          <w:rFonts w:ascii="Times New Roman" w:hAnsi="Times New Roman"/>
          <w:color w:val="000000"/>
          <w:highlight w:val="none"/>
        </w:rPr>
        <w:t>如果技术得分也相</w:t>
      </w:r>
      <w:r>
        <w:rPr>
          <w:rFonts w:hint="eastAsia" w:ascii="Times New Roman" w:hAnsi="Times New Roman"/>
          <w:color w:val="000000"/>
          <w:highlight w:val="none"/>
        </w:rPr>
        <w:t>等</w:t>
      </w:r>
      <w:r>
        <w:rPr>
          <w:rFonts w:ascii="Times New Roman" w:hAnsi="Times New Roman"/>
          <w:color w:val="000000"/>
          <w:highlight w:val="none"/>
        </w:rPr>
        <w:t>，按照评标办法前附表的规定确定中标候选人顺序。</w:t>
      </w:r>
    </w:p>
    <w:p>
      <w:pPr>
        <w:pStyle w:val="3"/>
        <w:rPr>
          <w:rFonts w:ascii="Times New Roman" w:hAnsi="Times New Roman"/>
          <w:color w:val="000000"/>
          <w:highlight w:val="none"/>
        </w:rPr>
      </w:pPr>
      <w:bookmarkStart w:id="539" w:name="_Toc1046127115"/>
      <w:r>
        <w:rPr>
          <w:rFonts w:ascii="Times New Roman" w:hAnsi="Times New Roman"/>
          <w:color w:val="000000"/>
          <w:highlight w:val="none"/>
        </w:rPr>
        <w:t>2. 评审标准</w:t>
      </w:r>
      <w:bookmarkEnd w:id="539"/>
    </w:p>
    <w:p>
      <w:pPr>
        <w:pStyle w:val="4"/>
        <w:spacing w:line="240" w:lineRule="auto"/>
        <w:ind w:firstLine="137"/>
        <w:rPr>
          <w:rFonts w:ascii="Times New Roman" w:hAnsi="Times New Roman"/>
          <w:color w:val="000000"/>
          <w:highlight w:val="none"/>
        </w:rPr>
      </w:pPr>
      <w:bookmarkStart w:id="540" w:name="_Toc2024506360"/>
      <w:r>
        <w:rPr>
          <w:rFonts w:ascii="Times New Roman" w:hAnsi="Times New Roman"/>
          <w:color w:val="000000"/>
          <w:highlight w:val="none"/>
        </w:rPr>
        <w:t>2.1 初步评审标准</w:t>
      </w:r>
      <w:bookmarkEnd w:id="540"/>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2.1.1 形式评审标准：见评标办法前附表。</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2.1.2 资格评审标准：见评标办法前附表。</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2.1.3 响应性评审标准：见评标办法前附表。</w:t>
      </w:r>
    </w:p>
    <w:p>
      <w:pPr>
        <w:pStyle w:val="4"/>
        <w:spacing w:line="240" w:lineRule="auto"/>
        <w:ind w:firstLine="137"/>
        <w:rPr>
          <w:rFonts w:ascii="Times New Roman" w:hAnsi="Times New Roman"/>
          <w:color w:val="000000"/>
          <w:highlight w:val="none"/>
        </w:rPr>
      </w:pPr>
      <w:bookmarkStart w:id="541" w:name="_Toc427021643"/>
      <w:r>
        <w:rPr>
          <w:rFonts w:ascii="Times New Roman" w:hAnsi="Times New Roman"/>
          <w:color w:val="000000"/>
          <w:highlight w:val="none"/>
        </w:rPr>
        <w:t>2.2 分值构成与评分标准</w:t>
      </w:r>
      <w:bookmarkEnd w:id="541"/>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2.2.1 分值构成</w:t>
      </w:r>
    </w:p>
    <w:p>
      <w:pPr>
        <w:spacing w:line="400" w:lineRule="exact"/>
        <w:ind w:firstLine="420" w:firstLineChars="200"/>
        <w:rPr>
          <w:rFonts w:ascii="Times New Roman" w:hAnsi="Times New Roman"/>
          <w:highlight w:val="none"/>
        </w:rPr>
      </w:pPr>
      <w:r>
        <w:rPr>
          <w:rFonts w:ascii="Times New Roman" w:hAnsi="Times New Roman"/>
          <w:highlight w:val="none"/>
        </w:rPr>
        <w:t>（1）商务部分：见评标办法前附表；</w:t>
      </w:r>
    </w:p>
    <w:p>
      <w:pPr>
        <w:spacing w:line="400" w:lineRule="exact"/>
        <w:ind w:firstLine="420" w:firstLineChars="200"/>
        <w:rPr>
          <w:rFonts w:ascii="Times New Roman" w:hAnsi="Times New Roman"/>
          <w:highlight w:val="none"/>
        </w:rPr>
      </w:pPr>
      <w:r>
        <w:rPr>
          <w:rFonts w:ascii="Times New Roman" w:hAnsi="Times New Roman"/>
          <w:highlight w:val="none"/>
        </w:rPr>
        <w:t>（</w:t>
      </w:r>
      <w:r>
        <w:rPr>
          <w:rFonts w:hint="eastAsia" w:ascii="Times New Roman" w:hAnsi="Times New Roman"/>
          <w:highlight w:val="none"/>
        </w:rPr>
        <w:t>2</w:t>
      </w:r>
      <w:r>
        <w:rPr>
          <w:rFonts w:ascii="Times New Roman" w:hAnsi="Times New Roman"/>
          <w:highlight w:val="none"/>
        </w:rPr>
        <w:t>）投标报价：见评标办法前附表；</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w:t>
      </w:r>
      <w:r>
        <w:rPr>
          <w:rFonts w:hint="eastAsia" w:ascii="Times New Roman" w:hAnsi="Times New Roman"/>
          <w:color w:val="000000"/>
          <w:highlight w:val="none"/>
        </w:rPr>
        <w:t>3</w:t>
      </w:r>
      <w:r>
        <w:rPr>
          <w:rFonts w:ascii="Times New Roman" w:hAnsi="Times New Roman"/>
          <w:color w:val="000000"/>
          <w:highlight w:val="none"/>
        </w:rPr>
        <w:t>）其他评分因素：见评标办法前附表</w:t>
      </w:r>
      <w:r>
        <w:rPr>
          <w:rFonts w:hint="eastAsia" w:ascii="Times New Roman" w:hAnsi="Times New Roman"/>
          <w:color w:val="000000"/>
          <w:highlight w:val="none"/>
        </w:rPr>
        <w:t>；</w:t>
      </w:r>
    </w:p>
    <w:p>
      <w:pPr>
        <w:spacing w:line="400" w:lineRule="exact"/>
        <w:ind w:firstLine="420" w:firstLineChars="200"/>
        <w:rPr>
          <w:rFonts w:ascii="Times New Roman" w:hAnsi="Times New Roman"/>
          <w:color w:val="000000"/>
          <w:highlight w:val="none"/>
        </w:rPr>
      </w:pPr>
      <w:r>
        <w:rPr>
          <w:rFonts w:ascii="Times New Roman" w:hAnsi="Times New Roman"/>
          <w:highlight w:val="none"/>
        </w:rPr>
        <w:t>（</w:t>
      </w:r>
      <w:r>
        <w:rPr>
          <w:rFonts w:hint="eastAsia" w:ascii="Times New Roman" w:hAnsi="Times New Roman"/>
          <w:highlight w:val="none"/>
        </w:rPr>
        <w:t>4</w:t>
      </w:r>
      <w:r>
        <w:rPr>
          <w:rFonts w:ascii="Times New Roman" w:hAnsi="Times New Roman"/>
          <w:highlight w:val="none"/>
        </w:rPr>
        <w:t>）技术部分：见评标办法前附表</w:t>
      </w:r>
      <w:r>
        <w:rPr>
          <w:rFonts w:ascii="Times New Roman" w:hAnsi="Times New Roman"/>
          <w:color w:val="000000"/>
          <w:highlight w:val="none"/>
        </w:rPr>
        <w:t>。</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2.2.2 评标基准价计算</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评标基准价计算方法：见评标办法前附表。</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2.2.3 投标报价的偏差率计算</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投标报价的偏差率计算公式：见评标办法前附表。</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2.2.4 评分标准</w:t>
      </w:r>
    </w:p>
    <w:p>
      <w:pPr>
        <w:spacing w:line="400" w:lineRule="exact"/>
        <w:ind w:firstLine="420" w:firstLineChars="200"/>
        <w:rPr>
          <w:rFonts w:ascii="Times New Roman" w:hAnsi="Times New Roman"/>
          <w:highlight w:val="none"/>
        </w:rPr>
      </w:pPr>
      <w:r>
        <w:rPr>
          <w:rFonts w:ascii="Times New Roman" w:hAnsi="Times New Roman"/>
          <w:highlight w:val="none"/>
        </w:rPr>
        <w:t>（1）商务评分标准：见评标办法前附表；</w:t>
      </w:r>
    </w:p>
    <w:p>
      <w:pPr>
        <w:spacing w:line="400" w:lineRule="exact"/>
        <w:ind w:firstLine="420" w:firstLineChars="200"/>
        <w:rPr>
          <w:rFonts w:ascii="Times New Roman" w:hAnsi="Times New Roman"/>
          <w:highlight w:val="none"/>
        </w:rPr>
      </w:pPr>
      <w:r>
        <w:rPr>
          <w:rFonts w:ascii="Times New Roman" w:hAnsi="Times New Roman"/>
          <w:highlight w:val="none"/>
        </w:rPr>
        <w:t>（2）投标报价评分标准：见评标办法前附表；</w:t>
      </w:r>
    </w:p>
    <w:p>
      <w:pPr>
        <w:spacing w:line="400" w:lineRule="exact"/>
        <w:ind w:firstLine="420" w:firstLineChars="200"/>
        <w:rPr>
          <w:rFonts w:ascii="Times New Roman" w:hAnsi="Times New Roman"/>
          <w:highlight w:val="none"/>
        </w:rPr>
      </w:pPr>
      <w:r>
        <w:rPr>
          <w:rFonts w:ascii="Times New Roman" w:hAnsi="Times New Roman"/>
          <w:highlight w:val="none"/>
        </w:rPr>
        <w:t>（3）其他因素评分标准：见评标办法前附表；</w:t>
      </w:r>
    </w:p>
    <w:p>
      <w:pPr>
        <w:spacing w:line="400" w:lineRule="exact"/>
        <w:ind w:firstLine="420" w:firstLineChars="200"/>
        <w:rPr>
          <w:rFonts w:ascii="Times New Roman" w:hAnsi="Times New Roman"/>
          <w:highlight w:val="none"/>
        </w:rPr>
      </w:pPr>
      <w:r>
        <w:rPr>
          <w:rFonts w:ascii="Times New Roman" w:hAnsi="Times New Roman"/>
          <w:highlight w:val="none"/>
        </w:rPr>
        <w:t>（4）技术评分标准：见评标办法前附表。</w:t>
      </w:r>
    </w:p>
    <w:p>
      <w:pPr>
        <w:pStyle w:val="3"/>
        <w:rPr>
          <w:rFonts w:ascii="Times New Roman" w:hAnsi="Times New Roman"/>
          <w:color w:val="000000"/>
          <w:highlight w:val="none"/>
        </w:rPr>
      </w:pPr>
      <w:bookmarkStart w:id="542" w:name="_Toc1962345465"/>
      <w:r>
        <w:rPr>
          <w:rFonts w:ascii="Times New Roman" w:hAnsi="Times New Roman"/>
          <w:color w:val="000000"/>
          <w:highlight w:val="none"/>
        </w:rPr>
        <w:t>3. 评标程序</w:t>
      </w:r>
      <w:bookmarkEnd w:id="542"/>
    </w:p>
    <w:p>
      <w:pPr>
        <w:pStyle w:val="4"/>
        <w:spacing w:line="240" w:lineRule="auto"/>
        <w:ind w:firstLine="137"/>
        <w:rPr>
          <w:rFonts w:ascii="Times New Roman" w:hAnsi="Times New Roman"/>
          <w:color w:val="000000"/>
          <w:highlight w:val="none"/>
        </w:rPr>
      </w:pPr>
      <w:bookmarkStart w:id="543" w:name="_Toc748162670"/>
      <w:r>
        <w:rPr>
          <w:rFonts w:ascii="Times New Roman" w:hAnsi="Times New Roman"/>
          <w:color w:val="000000"/>
          <w:highlight w:val="none"/>
        </w:rPr>
        <w:t>3.1 初步评审</w:t>
      </w:r>
      <w:bookmarkEnd w:id="543"/>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3.1.1 评标委员会可以要求投标人提交第二章“投标人须知”规定的有关证明和证件的原件，以便核验。评标委员会依据本章第2.1款规定的标准对投标文件进行初步评审。有一项不符合评审标准的，评标委员会应当否决其投标。</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3.1.2 投标人有以下情形之一的，评标委员会应当否决其投标：</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（1）投标文件没有对招标文件的实质性要求和条件作出响应，或者对招标文件的偏差超出招标文件规定的偏差范围或最高项数；</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（2）有串通投标、弄虚作假、行贿等违法行为。</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3.1.3 投标报价有算术错误及其他错误的，评标委员会按以下原则对投标报价进</w:t>
      </w:r>
      <w:bookmarkStart w:id="544" w:name="_Toc352691538"/>
      <w:bookmarkStart w:id="545" w:name="_Toc384308277"/>
      <w:bookmarkStart w:id="546" w:name="_Toc152042380"/>
      <w:bookmarkStart w:id="547" w:name="_Toc247527628"/>
      <w:bookmarkStart w:id="548" w:name="_Toc144974570"/>
      <w:bookmarkStart w:id="549" w:name="_Toc300835013"/>
      <w:bookmarkStart w:id="550" w:name="_Toc2907"/>
      <w:bookmarkStart w:id="551" w:name="_Toc361508651"/>
      <w:bookmarkStart w:id="552" w:name="_Toc152045603"/>
      <w:bookmarkStart w:id="553" w:name="_Toc247514027"/>
      <w:bookmarkStart w:id="554" w:name="_Toc369531582"/>
      <w:r>
        <w:rPr>
          <w:rFonts w:ascii="Times New Roman" w:hAnsi="Times New Roman"/>
          <w:color w:val="000000"/>
          <w:highlight w:val="none"/>
        </w:rPr>
        <w:t>行修正，并要求投标人书面澄清确认。</w:t>
      </w:r>
      <w:bookmarkEnd w:id="544"/>
      <w:bookmarkEnd w:id="545"/>
      <w:bookmarkEnd w:id="546"/>
      <w:bookmarkEnd w:id="547"/>
      <w:bookmarkEnd w:id="548"/>
      <w:bookmarkEnd w:id="549"/>
      <w:bookmarkEnd w:id="550"/>
      <w:bookmarkEnd w:id="551"/>
      <w:bookmarkEnd w:id="552"/>
      <w:bookmarkEnd w:id="553"/>
      <w:bookmarkEnd w:id="554"/>
      <w:r>
        <w:rPr>
          <w:rFonts w:ascii="Times New Roman" w:hAnsi="Times New Roman"/>
          <w:color w:val="000000"/>
          <w:highlight w:val="none"/>
        </w:rPr>
        <w:t>投标人拒不澄清确认的，评标委员会应当否决其投标：</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（1）投标文件中的大写金额与小写金额不一致的，以大写金额为准；</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（2）总价金额与单价金额不一致的，以单价金额为准，但单价金额小数点有明显错误的除外；</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（3）投标报价为各分项报价金额之和，投标报价与分项报价的合价不一致的，应以各分项合价累计数为准，修正投标报价；</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（4）</w:t>
      </w:r>
      <w:r>
        <w:rPr>
          <w:rFonts w:hint="eastAsia" w:ascii="Times New Roman" w:hAnsi="Times New Roman"/>
          <w:color w:val="000000"/>
          <w:highlight w:val="none"/>
        </w:rPr>
        <w:t>如果</w:t>
      </w:r>
      <w:r>
        <w:rPr>
          <w:rFonts w:ascii="Times New Roman" w:hAnsi="Times New Roman"/>
          <w:color w:val="000000"/>
          <w:highlight w:val="none"/>
        </w:rPr>
        <w:t>分项报价中存在缺漏项，则视为缺漏项价格已包含在其他分项报价之中。</w:t>
      </w:r>
    </w:p>
    <w:p>
      <w:pPr>
        <w:pStyle w:val="4"/>
        <w:spacing w:line="240" w:lineRule="auto"/>
        <w:ind w:firstLine="137"/>
        <w:rPr>
          <w:rFonts w:ascii="Times New Roman" w:hAnsi="Times New Roman"/>
          <w:color w:val="000000"/>
          <w:highlight w:val="none"/>
        </w:rPr>
      </w:pPr>
      <w:bookmarkStart w:id="555" w:name="_Toc1785124041"/>
      <w:r>
        <w:rPr>
          <w:rFonts w:ascii="Times New Roman" w:hAnsi="Times New Roman"/>
          <w:color w:val="000000"/>
          <w:highlight w:val="none"/>
        </w:rPr>
        <w:t>3.2 详细评审</w:t>
      </w:r>
      <w:bookmarkEnd w:id="555"/>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3.2.1 评标委员会按本章第2.2款规定的量化因素和分值进行打分，并计算出综合评估得分。</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（1）按本章第2.2.4（1）目规定的评审因素和分值对商务部分计算出得分A；</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（2）按本章第2.2.4（2）目规定的评审因素和分值对</w:t>
      </w:r>
      <w:r>
        <w:rPr>
          <w:rFonts w:ascii="Times New Roman" w:hAnsi="Times New Roman"/>
          <w:highlight w:val="none"/>
        </w:rPr>
        <w:t>投标报价</w:t>
      </w:r>
      <w:r>
        <w:rPr>
          <w:rFonts w:ascii="Times New Roman" w:hAnsi="Times New Roman"/>
          <w:color w:val="000000"/>
          <w:highlight w:val="none"/>
        </w:rPr>
        <w:t>计算出得分B；</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（3）按本章第2.2.4（3）目规定的评审因素和</w:t>
      </w:r>
      <w:bookmarkStart w:id="556" w:name="_Toc361508652"/>
      <w:bookmarkStart w:id="557" w:name="_Toc369531583"/>
      <w:bookmarkStart w:id="558" w:name="_Toc352691539"/>
      <w:bookmarkStart w:id="559" w:name="_Toc247527629"/>
      <w:bookmarkStart w:id="560" w:name="_Toc384308278"/>
      <w:bookmarkStart w:id="561" w:name="_Toc247514028"/>
      <w:bookmarkStart w:id="562" w:name="_Toc152042381"/>
      <w:bookmarkStart w:id="563" w:name="_Toc152045604"/>
      <w:bookmarkStart w:id="564" w:name="_Toc300835014"/>
      <w:bookmarkStart w:id="565" w:name="_Toc24330"/>
      <w:bookmarkStart w:id="566" w:name="_Toc144974571"/>
      <w:r>
        <w:rPr>
          <w:rFonts w:ascii="Times New Roman" w:hAnsi="Times New Roman"/>
          <w:color w:val="000000"/>
          <w:highlight w:val="none"/>
        </w:rPr>
        <w:t>分值对其他部分</w:t>
      </w:r>
      <w:bookmarkEnd w:id="556"/>
      <w:bookmarkEnd w:id="557"/>
      <w:bookmarkEnd w:id="558"/>
      <w:bookmarkEnd w:id="559"/>
      <w:bookmarkEnd w:id="560"/>
      <w:bookmarkEnd w:id="561"/>
      <w:bookmarkEnd w:id="562"/>
      <w:bookmarkEnd w:id="563"/>
      <w:bookmarkEnd w:id="564"/>
      <w:bookmarkEnd w:id="565"/>
      <w:bookmarkEnd w:id="566"/>
      <w:r>
        <w:rPr>
          <w:rFonts w:ascii="Times New Roman" w:hAnsi="Times New Roman"/>
          <w:color w:val="000000"/>
          <w:highlight w:val="none"/>
        </w:rPr>
        <w:t>计</w:t>
      </w:r>
      <w:bookmarkStart w:id="567" w:name="_Toc18141"/>
      <w:bookmarkStart w:id="568" w:name="_Toc361508653"/>
      <w:bookmarkStart w:id="569" w:name="_Toc152042382"/>
      <w:bookmarkStart w:id="570" w:name="_Toc247514029"/>
      <w:bookmarkStart w:id="571" w:name="_Toc300835015"/>
      <w:bookmarkStart w:id="572" w:name="_Toc384308279"/>
      <w:bookmarkStart w:id="573" w:name="_Toc352691540"/>
      <w:bookmarkStart w:id="574" w:name="_Toc369531584"/>
      <w:bookmarkStart w:id="575" w:name="_Toc247527630"/>
      <w:bookmarkStart w:id="576" w:name="_Toc152045605"/>
      <w:bookmarkStart w:id="577" w:name="_Toc144974572"/>
      <w:r>
        <w:rPr>
          <w:rFonts w:ascii="Times New Roman" w:hAnsi="Times New Roman"/>
          <w:color w:val="000000"/>
          <w:highlight w:val="none"/>
        </w:rPr>
        <w:t>算出得分C；</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w:t>
      </w:r>
      <w:bookmarkEnd w:id="567"/>
      <w:bookmarkEnd w:id="568"/>
      <w:bookmarkEnd w:id="569"/>
      <w:bookmarkEnd w:id="570"/>
      <w:bookmarkEnd w:id="571"/>
      <w:bookmarkEnd w:id="572"/>
      <w:bookmarkEnd w:id="573"/>
      <w:bookmarkEnd w:id="574"/>
      <w:bookmarkEnd w:id="575"/>
      <w:bookmarkEnd w:id="576"/>
      <w:bookmarkEnd w:id="577"/>
      <w:r>
        <w:rPr>
          <w:rFonts w:ascii="Times New Roman" w:hAnsi="Times New Roman"/>
          <w:color w:val="000000"/>
          <w:highlight w:val="none"/>
        </w:rPr>
        <w:t>4）按本章第2.2.4（4）目规定的评审因素和分值对技术部分计算出得分D。</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3.2.2 评分分值计算保留小数点后两位，小数点后第三位“四舍五入”。</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3.2.3 投标人得分=A+B+C+D。</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3.2.4 评标委员会发现投标人的报价明显低于其他投标报价，使得其投标报价可能低于其个别成本的，应当要求该投标人作出书面说明并提供相应的证明材料。投标人不能合理说明或者不能提供相应证明材料的，评标委员会应当认定该投标人以低于成本报价竞标，并否决其投标。</w:t>
      </w:r>
    </w:p>
    <w:p>
      <w:pPr>
        <w:pStyle w:val="4"/>
        <w:spacing w:line="240" w:lineRule="auto"/>
        <w:ind w:firstLine="137"/>
        <w:rPr>
          <w:rFonts w:ascii="Times New Roman" w:hAnsi="Times New Roman"/>
          <w:color w:val="000000"/>
          <w:highlight w:val="none"/>
        </w:rPr>
      </w:pPr>
      <w:bookmarkStart w:id="578" w:name="_Toc2058271600"/>
      <w:r>
        <w:rPr>
          <w:rFonts w:ascii="Times New Roman" w:hAnsi="Times New Roman"/>
          <w:color w:val="000000"/>
          <w:highlight w:val="none"/>
        </w:rPr>
        <w:t>3.3 投标文件的澄清</w:t>
      </w:r>
      <w:bookmarkEnd w:id="578"/>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3.3.1 在评标过程中，评标委员会可以书面形式要求投标人对投标文件中含义不明确、对同类问题表述不一致或者有明显文字和计算错误的内容做必要的澄清、说明或补正。澄清、说明或补正应以书面方式进行。评标委员会不接受投标人主动提出的澄清、说明或补正。</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3.3.2 澄清、说明或补正不得超出投标文件的范围且不得改变投标文件的实质性内容，并构成投标文件的组成部分。</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3.3.3 评标委员会对投标人提交的澄清、说明或补正有疑问的，可以要求投标人进一步澄清、说明或补正，直至满足评标委员会的要求。</w:t>
      </w:r>
    </w:p>
    <w:p>
      <w:pPr>
        <w:pStyle w:val="4"/>
        <w:spacing w:line="240" w:lineRule="auto"/>
        <w:ind w:firstLine="137"/>
        <w:rPr>
          <w:rFonts w:ascii="Times New Roman" w:hAnsi="Times New Roman"/>
          <w:color w:val="000000"/>
          <w:highlight w:val="none"/>
        </w:rPr>
      </w:pPr>
      <w:bookmarkStart w:id="579" w:name="_Toc181928407"/>
      <w:r>
        <w:rPr>
          <w:rFonts w:ascii="Times New Roman" w:hAnsi="Times New Roman"/>
          <w:color w:val="000000"/>
          <w:highlight w:val="none"/>
        </w:rPr>
        <w:t>3.4 评标结果</w:t>
      </w:r>
      <w:bookmarkEnd w:id="579"/>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3.4.1 除第二章“投标人须知”前附表授权直接确定中标人外，评标委员会按照得分由高到低的顺序推荐中标候选人，并标明排序。</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3.4.2 评标委员会完成评标后，应当向招标人提交书面评标报告和中标候选人名单。</w:t>
      </w:r>
    </w:p>
    <w:p>
      <w:pPr>
        <w:widowControl/>
        <w:jc w:val="left"/>
        <w:rPr>
          <w:rFonts w:ascii="Times New Roman" w:hAnsi="Times New Roman"/>
          <w:color w:val="000000"/>
          <w:highlight w:val="none"/>
        </w:rPr>
      </w:pPr>
      <w:r>
        <w:rPr>
          <w:rFonts w:ascii="Times New Roman" w:hAnsi="Times New Roman"/>
          <w:color w:val="000000"/>
          <w:highlight w:val="none"/>
        </w:rPr>
        <w:br w:type="page"/>
      </w:r>
    </w:p>
    <w:p>
      <w:pPr>
        <w:keepNext/>
        <w:keepLines/>
        <w:adjustRightInd w:val="0"/>
        <w:snapToGrid w:val="0"/>
        <w:spacing w:before="120" w:beforeLines="50" w:after="120" w:afterLines="50" w:line="600" w:lineRule="exact"/>
        <w:outlineLvl w:val="1"/>
        <w:rPr>
          <w:rFonts w:ascii="仿宋_GB2312" w:hAnsi="黑体" w:eastAsia="仿宋_GB2312"/>
          <w:szCs w:val="24"/>
          <w:highlight w:val="none"/>
        </w:rPr>
      </w:pPr>
      <w:bookmarkStart w:id="580" w:name="_Toc444881788"/>
      <w:bookmarkStart w:id="581" w:name="_Toc34294395"/>
      <w:bookmarkStart w:id="582" w:name="_Toc72229764"/>
      <w:bookmarkStart w:id="583" w:name="_Toc47109064"/>
      <w:bookmarkStart w:id="584" w:name="_Toc116937934"/>
      <w:bookmarkStart w:id="585" w:name="_Toc34298424"/>
      <w:bookmarkStart w:id="586" w:name="_Toc6245"/>
      <w:bookmarkStart w:id="587" w:name="_Toc45113788"/>
      <w:bookmarkStart w:id="588" w:name="_Toc31653"/>
      <w:r>
        <w:rPr>
          <w:rFonts w:hint="eastAsia" w:ascii="仿宋_GB2312" w:hAnsi="黑体" w:eastAsia="仿宋_GB2312"/>
          <w:sz w:val="28"/>
          <w:szCs w:val="28"/>
          <w:highlight w:val="none"/>
        </w:rPr>
        <w:t>附件一：暗标评审有关说明</w:t>
      </w:r>
      <w:bookmarkEnd w:id="580"/>
      <w:bookmarkEnd w:id="581"/>
      <w:bookmarkEnd w:id="582"/>
      <w:bookmarkEnd w:id="583"/>
      <w:bookmarkEnd w:id="584"/>
      <w:bookmarkEnd w:id="585"/>
      <w:bookmarkEnd w:id="586"/>
      <w:bookmarkEnd w:id="587"/>
    </w:p>
    <w:p>
      <w:pPr>
        <w:widowControl/>
        <w:spacing w:line="360" w:lineRule="auto"/>
        <w:jc w:val="center"/>
        <w:rPr>
          <w:rFonts w:ascii="宋体" w:hAnsi="宋体"/>
          <w:szCs w:val="21"/>
          <w:highlight w:val="none"/>
        </w:rPr>
      </w:pPr>
    </w:p>
    <w:p>
      <w:pPr>
        <w:widowControl/>
        <w:spacing w:line="360" w:lineRule="auto"/>
        <w:jc w:val="center"/>
        <w:rPr>
          <w:rFonts w:ascii="黑体" w:hAnsi="黑体" w:eastAsia="黑体"/>
          <w:sz w:val="32"/>
          <w:szCs w:val="32"/>
          <w:highlight w:val="none"/>
        </w:rPr>
      </w:pPr>
      <w:r>
        <w:rPr>
          <w:rFonts w:hint="eastAsia" w:ascii="黑体" w:hAnsi="黑体" w:eastAsia="黑体"/>
          <w:sz w:val="32"/>
          <w:szCs w:val="32"/>
          <w:highlight w:val="none"/>
        </w:rPr>
        <w:t>暗标评审有关说明</w:t>
      </w:r>
    </w:p>
    <w:p>
      <w:pPr>
        <w:widowControl/>
        <w:spacing w:line="360" w:lineRule="auto"/>
        <w:jc w:val="center"/>
        <w:rPr>
          <w:rFonts w:ascii="黑体" w:hAnsi="黑体" w:eastAsia="黑体" w:cs="黑体"/>
          <w:szCs w:val="21"/>
          <w:highlight w:val="none"/>
        </w:rPr>
      </w:pPr>
    </w:p>
    <w:p>
      <w:pPr>
        <w:spacing w:line="400" w:lineRule="exact"/>
        <w:ind w:firstLine="420" w:firstLineChars="200"/>
        <w:rPr>
          <w:rFonts w:hint="default" w:ascii="Times New Roman" w:hAnsi="Times New Roman" w:eastAsia="宋体"/>
          <w:color w:val="000000"/>
          <w:szCs w:val="22"/>
          <w:highlight w:val="none"/>
        </w:rPr>
      </w:pPr>
      <w:r>
        <w:rPr>
          <w:rFonts w:hint="default" w:ascii="Times New Roman" w:hAnsi="Times New Roman" w:eastAsia="宋体"/>
          <w:color w:val="000000"/>
          <w:szCs w:val="22"/>
          <w:highlight w:val="none"/>
        </w:rPr>
        <w:t>第二章“投标人须知”前附表第3.7.6项要求技术标采用暗标形式</w:t>
      </w:r>
      <w:r>
        <w:rPr>
          <w:rFonts w:hint="default" w:ascii="Times New Roman" w:hAnsi="Times New Roman" w:eastAsia="宋体"/>
          <w:color w:val="000000"/>
          <w:szCs w:val="22"/>
          <w:highlight w:val="none"/>
          <w:lang w:val="en-US" w:eastAsia="zh-CN"/>
        </w:rPr>
        <w:t>的</w:t>
      </w:r>
      <w:r>
        <w:rPr>
          <w:rFonts w:hint="default" w:ascii="Times New Roman" w:hAnsi="Times New Roman" w:eastAsia="宋体"/>
          <w:color w:val="000000"/>
          <w:szCs w:val="22"/>
          <w:highlight w:val="none"/>
        </w:rPr>
        <w:t>，则在评标工作开始前，电子评标辅助系统将随机编制投标文件技术标暗标编号。</w:t>
      </w:r>
    </w:p>
    <w:p>
      <w:pPr>
        <w:keepNext/>
        <w:keepLines/>
        <w:spacing w:before="120" w:after="120" w:line="600" w:lineRule="exact"/>
        <w:outlineLvl w:val="1"/>
        <w:rPr>
          <w:rFonts w:ascii="仿宋_GB2312" w:hAnsi="宋体" w:eastAsia="仿宋_GB2312"/>
          <w:b/>
          <w:bCs/>
          <w:sz w:val="32"/>
          <w:szCs w:val="32"/>
          <w:highlight w:val="none"/>
        </w:rPr>
      </w:pPr>
      <w:bookmarkStart w:id="589" w:name="_Toc1867654015"/>
      <w:r>
        <w:rPr>
          <w:rFonts w:hint="default" w:ascii="Times New Roman" w:hAnsi="Times New Roman" w:eastAsia="宋体"/>
          <w:color w:val="000000"/>
          <w:szCs w:val="22"/>
          <w:highlight w:val="none"/>
        </w:rPr>
        <w:t>在评标委员会完成</w:t>
      </w:r>
      <w:r>
        <w:rPr>
          <w:rFonts w:hint="default" w:ascii="Times New Roman" w:hAnsi="Times New Roman" w:eastAsia="宋体"/>
          <w:color w:val="000000"/>
          <w:szCs w:val="22"/>
          <w:highlight w:val="none"/>
          <w:lang w:val="en-US" w:eastAsia="zh-CN"/>
        </w:rPr>
        <w:t>全部</w:t>
      </w:r>
      <w:r>
        <w:rPr>
          <w:rFonts w:hint="default" w:ascii="Times New Roman" w:hAnsi="Times New Roman" w:eastAsia="宋体"/>
          <w:color w:val="000000"/>
          <w:szCs w:val="22"/>
          <w:highlight w:val="none"/>
        </w:rPr>
        <w:t>技术标</w:t>
      </w:r>
      <w:r>
        <w:rPr>
          <w:rFonts w:hint="default" w:ascii="Times New Roman" w:hAnsi="Times New Roman" w:eastAsia="宋体"/>
          <w:color w:val="000000"/>
          <w:szCs w:val="22"/>
          <w:highlight w:val="none"/>
          <w:lang w:val="en-US" w:eastAsia="zh-CN"/>
        </w:rPr>
        <w:t>详细</w:t>
      </w:r>
      <w:r>
        <w:rPr>
          <w:rFonts w:hint="default" w:ascii="Times New Roman" w:hAnsi="Times New Roman" w:eastAsia="宋体"/>
          <w:color w:val="000000"/>
          <w:szCs w:val="22"/>
          <w:highlight w:val="none"/>
        </w:rPr>
        <w:t>评审</w:t>
      </w:r>
      <w:r>
        <w:rPr>
          <w:rFonts w:hint="default" w:ascii="Times New Roman" w:hAnsi="Times New Roman" w:eastAsia="宋体"/>
          <w:color w:val="000000"/>
          <w:szCs w:val="22"/>
          <w:highlight w:val="none"/>
          <w:lang w:val="en-US" w:eastAsia="zh-CN"/>
        </w:rPr>
        <w:t>和商务标详细评审后，</w:t>
      </w:r>
      <w:r>
        <w:rPr>
          <w:rFonts w:hint="default" w:ascii="Times New Roman" w:hAnsi="Times New Roman" w:eastAsia="宋体"/>
          <w:color w:val="000000"/>
          <w:szCs w:val="22"/>
          <w:highlight w:val="none"/>
        </w:rPr>
        <w:t>方可读取暗标编号记录。由系统自动生成技术暗标编号确认表</w:t>
      </w:r>
      <w:r>
        <w:rPr>
          <w:rFonts w:hint="default" w:ascii="Times New Roman" w:hAnsi="Times New Roman" w:eastAsia="宋体"/>
          <w:color w:val="000000"/>
          <w:szCs w:val="22"/>
          <w:highlight w:val="none"/>
          <w:lang w:eastAsia="zh-CN"/>
        </w:rPr>
        <w:t>，</w:t>
      </w:r>
      <w:r>
        <w:rPr>
          <w:rFonts w:hint="default" w:ascii="Times New Roman" w:hAnsi="Times New Roman" w:eastAsia="宋体"/>
          <w:color w:val="000000"/>
          <w:szCs w:val="22"/>
          <w:highlight w:val="none"/>
          <w:lang w:val="en-US" w:eastAsia="zh-CN"/>
        </w:rPr>
        <w:t>并</w:t>
      </w:r>
      <w:r>
        <w:rPr>
          <w:rFonts w:hint="default" w:ascii="Times New Roman" w:hAnsi="Times New Roman" w:eastAsia="宋体"/>
          <w:color w:val="000000"/>
          <w:szCs w:val="22"/>
          <w:highlight w:val="none"/>
        </w:rPr>
        <w:t>根据投标人与暗标编号的对应关系，汇总投标人的评审结果。</w:t>
      </w:r>
      <w:r>
        <w:rPr>
          <w:rFonts w:ascii="Times New Roman" w:hAnsi="Times New Roman"/>
          <w:b/>
          <w:bCs/>
          <w:sz w:val="32"/>
          <w:szCs w:val="32"/>
          <w:highlight w:val="none"/>
        </w:rPr>
        <w:br w:type="page"/>
      </w:r>
      <w:bookmarkStart w:id="590" w:name="_Toc1446938698"/>
      <w:r>
        <w:rPr>
          <w:rFonts w:hint="eastAsia" w:ascii="仿宋_GB2312" w:hAnsi="宋体" w:eastAsia="仿宋_GB2312"/>
          <w:sz w:val="28"/>
          <w:szCs w:val="28"/>
          <w:highlight w:val="none"/>
        </w:rPr>
        <w:t>附件二： 询标函</w:t>
      </w:r>
      <w:bookmarkEnd w:id="588"/>
      <w:bookmarkEnd w:id="589"/>
      <w:bookmarkEnd w:id="590"/>
    </w:p>
    <w:tbl>
      <w:tblPr>
        <w:tblStyle w:val="29"/>
        <w:tblW w:w="9089" w:type="dxa"/>
        <w:tblInd w:w="93" w:type="dxa"/>
        <w:tblLayout w:type="fixed"/>
        <w:tblCellMar>
          <w:top w:w="0" w:type="dxa"/>
          <w:left w:w="108" w:type="dxa"/>
          <w:bottom w:w="0" w:type="dxa"/>
          <w:right w:w="108" w:type="dxa"/>
        </w:tblCellMar>
      </w:tblPr>
      <w:tblGrid>
        <w:gridCol w:w="1291"/>
        <w:gridCol w:w="7798"/>
      </w:tblGrid>
      <w:tr>
        <w:tblPrEx>
          <w:tblCellMar>
            <w:top w:w="0" w:type="dxa"/>
            <w:left w:w="108" w:type="dxa"/>
            <w:bottom w:w="0" w:type="dxa"/>
            <w:right w:w="108" w:type="dxa"/>
          </w:tblCellMar>
        </w:tblPrEx>
        <w:trPr>
          <w:trHeight w:val="690" w:hRule="atLeast"/>
        </w:trPr>
        <w:tc>
          <w:tcPr>
            <w:tcW w:w="9089" w:type="dxa"/>
            <w:gridSpan w:val="2"/>
            <w:tcBorders>
              <w:top w:val="nil"/>
              <w:left w:val="nil"/>
              <w:bottom w:val="nil"/>
              <w:right w:val="nil"/>
            </w:tcBorders>
            <w:noWrap/>
            <w:vAlign w:val="center"/>
          </w:tcPr>
          <w:p>
            <w:pPr>
              <w:widowControl/>
              <w:jc w:val="center"/>
              <w:rPr>
                <w:rFonts w:ascii="黑体" w:hAnsi="黑体" w:eastAsia="黑体" w:cs="黑体"/>
                <w:kern w:val="0"/>
                <w:sz w:val="44"/>
                <w:szCs w:val="44"/>
                <w:highlight w:val="none"/>
              </w:rPr>
            </w:pPr>
            <w:r>
              <w:rPr>
                <w:rFonts w:hint="eastAsia" w:ascii="黑体" w:hAnsi="黑体" w:eastAsia="黑体" w:cs="黑体"/>
                <w:kern w:val="0"/>
                <w:sz w:val="44"/>
                <w:szCs w:val="44"/>
                <w:highlight w:val="none"/>
              </w:rPr>
              <w:t>询   标   函</w:t>
            </w:r>
          </w:p>
          <w:p>
            <w:pPr>
              <w:widowControl/>
              <w:rPr>
                <w:rFonts w:cs="Arial" w:asciiTheme="minorEastAsia" w:hAnsiTheme="minorEastAsia" w:eastAsiaTheme="minorEastAsia"/>
                <w:kern w:val="0"/>
                <w:szCs w:val="21"/>
                <w:highlight w:val="none"/>
              </w:rPr>
            </w:pPr>
            <w:r>
              <w:rPr>
                <w:rFonts w:hint="eastAsia" w:asciiTheme="minorEastAsia" w:hAnsiTheme="minorEastAsia" w:eastAsiaTheme="minorEastAsia"/>
                <w:kern w:val="0"/>
                <w:szCs w:val="21"/>
                <w:highlight w:val="none"/>
              </w:rPr>
              <w:t>项目（标段）名称：</w:t>
            </w:r>
            <w:r>
              <w:rPr>
                <w:rFonts w:asciiTheme="minorEastAsia" w:hAnsiTheme="minorEastAsia" w:eastAsiaTheme="minorEastAsia"/>
                <w:kern w:val="0"/>
                <w:szCs w:val="21"/>
                <w:highlight w:val="none"/>
              </w:rPr>
              <w:t xml:space="preserve">                       </w:t>
            </w:r>
            <w:r>
              <w:rPr>
                <w:rFonts w:hint="eastAsia" w:asciiTheme="minorEastAsia" w:hAnsiTheme="minorEastAsia" w:eastAsiaTheme="minorEastAsia"/>
                <w:kern w:val="0"/>
                <w:szCs w:val="21"/>
                <w:highlight w:val="none"/>
              </w:rPr>
              <w:t>项目</w:t>
            </w:r>
            <w:r>
              <w:rPr>
                <w:rFonts w:hint="eastAsia" w:cs="Arial" w:asciiTheme="minorEastAsia" w:hAnsiTheme="minorEastAsia" w:eastAsiaTheme="minorEastAsia"/>
                <w:kern w:val="0"/>
                <w:szCs w:val="21"/>
                <w:highlight w:val="none"/>
              </w:rPr>
              <w:t>（</w:t>
            </w:r>
            <w:r>
              <w:rPr>
                <w:rFonts w:hint="eastAsia" w:asciiTheme="minorEastAsia" w:hAnsiTheme="minorEastAsia" w:eastAsiaTheme="minorEastAsia"/>
                <w:kern w:val="0"/>
                <w:szCs w:val="21"/>
                <w:highlight w:val="none"/>
              </w:rPr>
              <w:t>标段）编号：</w:t>
            </w:r>
          </w:p>
          <w:p>
            <w:pPr>
              <w:widowControl/>
              <w:rPr>
                <w:rFonts w:cs="Arial" w:asciiTheme="minorEastAsia" w:hAnsiTheme="minorEastAsia" w:eastAsiaTheme="minorEastAsia"/>
                <w:kern w:val="0"/>
                <w:szCs w:val="21"/>
                <w:highlight w:val="none"/>
              </w:rPr>
            </w:pPr>
          </w:p>
          <w:p>
            <w:pPr>
              <w:widowControl/>
              <w:rPr>
                <w:rFonts w:ascii="仿宋_GB2312" w:hAnsi="_x000B__x000C_" w:eastAsia="仿宋_GB2312" w:cs="Arial"/>
                <w:kern w:val="0"/>
                <w:sz w:val="24"/>
                <w:szCs w:val="24"/>
                <w:highlight w:val="none"/>
              </w:rPr>
            </w:pPr>
            <w:r>
              <w:rPr>
                <w:rFonts w:hint="eastAsia" w:cs="Arial" w:asciiTheme="minorEastAsia" w:hAnsiTheme="minorEastAsia" w:eastAsiaTheme="minorEastAsia"/>
                <w:kern w:val="0"/>
                <w:szCs w:val="21"/>
                <w:highlight w:val="none"/>
              </w:rPr>
              <w:t>日期：</w:t>
            </w:r>
            <w:r>
              <w:rPr>
                <w:rFonts w:cs="Arial" w:asciiTheme="minorEastAsia" w:hAnsiTheme="minorEastAsia" w:eastAsiaTheme="minorEastAsia"/>
                <w:kern w:val="0"/>
                <w:szCs w:val="21"/>
                <w:highlight w:val="none"/>
                <w:u w:val="single"/>
              </w:rPr>
              <w:t xml:space="preserve">     </w:t>
            </w:r>
            <w:r>
              <w:rPr>
                <w:rFonts w:hint="eastAsia" w:cs="Arial" w:asciiTheme="minorEastAsia" w:hAnsiTheme="minorEastAsia" w:eastAsiaTheme="minorEastAsia"/>
                <w:kern w:val="0"/>
                <w:szCs w:val="21"/>
                <w:highlight w:val="none"/>
              </w:rPr>
              <w:t>年</w:t>
            </w:r>
            <w:r>
              <w:rPr>
                <w:rFonts w:cs="Arial" w:asciiTheme="minorEastAsia" w:hAnsiTheme="minorEastAsia" w:eastAsiaTheme="minorEastAsia"/>
                <w:kern w:val="0"/>
                <w:szCs w:val="21"/>
                <w:highlight w:val="none"/>
                <w:u w:val="single"/>
              </w:rPr>
              <w:t xml:space="preserve">    </w:t>
            </w:r>
            <w:r>
              <w:rPr>
                <w:rFonts w:hint="eastAsia" w:cs="Arial" w:asciiTheme="minorEastAsia" w:hAnsiTheme="minorEastAsia" w:eastAsiaTheme="minorEastAsia"/>
                <w:kern w:val="0"/>
                <w:szCs w:val="21"/>
                <w:highlight w:val="none"/>
              </w:rPr>
              <w:t>月</w:t>
            </w:r>
            <w:r>
              <w:rPr>
                <w:rFonts w:cs="Arial" w:asciiTheme="minorEastAsia" w:hAnsiTheme="minorEastAsia" w:eastAsiaTheme="minorEastAsia"/>
                <w:kern w:val="0"/>
                <w:szCs w:val="21"/>
                <w:highlight w:val="none"/>
                <w:u w:val="single"/>
              </w:rPr>
              <w:t xml:space="preserve">    </w:t>
            </w:r>
            <w:r>
              <w:rPr>
                <w:rFonts w:hint="eastAsia" w:cs="Arial" w:asciiTheme="minorEastAsia" w:hAnsiTheme="minorEastAsia" w:eastAsiaTheme="minorEastAsia"/>
                <w:kern w:val="0"/>
                <w:szCs w:val="21"/>
                <w:highlight w:val="none"/>
              </w:rPr>
              <w:t>日</w:t>
            </w:r>
          </w:p>
        </w:tc>
      </w:tr>
      <w:tr>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pPr>
              <w:widowControl/>
              <w:jc w:val="center"/>
              <w:rPr>
                <w:rFonts w:cs="仿宋_GB2312" w:asciiTheme="minorEastAsia" w:hAnsiTheme="minorEastAsia" w:eastAsiaTheme="minorEastAsia"/>
                <w:kern w:val="0"/>
                <w:sz w:val="21"/>
                <w:szCs w:val="21"/>
                <w:highlight w:val="none"/>
              </w:rPr>
            </w:pPr>
            <w:r>
              <w:rPr>
                <w:rFonts w:hint="eastAsia" w:cs="仿宋_GB2312" w:asciiTheme="minorEastAsia" w:hAnsiTheme="minorEastAsia" w:eastAsiaTheme="minorEastAsia"/>
                <w:kern w:val="0"/>
                <w:sz w:val="21"/>
                <w:szCs w:val="21"/>
                <w:highlight w:val="none"/>
              </w:rPr>
              <w:t>询</w:t>
            </w:r>
            <w:r>
              <w:rPr>
                <w:rFonts w:cs="仿宋_GB2312" w:asciiTheme="minorEastAsia" w:hAnsiTheme="minorEastAsia" w:eastAsiaTheme="minorEastAsia"/>
                <w:kern w:val="0"/>
                <w:sz w:val="21"/>
                <w:szCs w:val="21"/>
                <w:highlight w:val="none"/>
              </w:rPr>
              <w:t xml:space="preserve"> 标 内 容</w:t>
            </w:r>
          </w:p>
        </w:tc>
        <w:tc>
          <w:tcPr>
            <w:tcW w:w="7798" w:type="dxa"/>
            <w:tcBorders>
              <w:top w:val="single" w:color="auto" w:sz="4" w:space="0"/>
              <w:left w:val="nil"/>
              <w:bottom w:val="nil"/>
              <w:right w:val="single" w:color="000000" w:sz="4" w:space="0"/>
            </w:tcBorders>
          </w:tcPr>
          <w:p>
            <w:pPr>
              <w:widowControl/>
              <w:jc w:val="left"/>
              <w:rPr>
                <w:rFonts w:cs="仿宋_GB2312" w:asciiTheme="minorEastAsia" w:hAnsiTheme="minorEastAsia" w:eastAsiaTheme="minorEastAsia"/>
                <w:kern w:val="0"/>
                <w:sz w:val="21"/>
                <w:szCs w:val="21"/>
                <w:highlight w:val="none"/>
              </w:rPr>
            </w:pPr>
            <w:r>
              <w:rPr>
                <w:rFonts w:hint="eastAsia" w:cs="仿宋_GB2312" w:asciiTheme="minorEastAsia" w:hAnsiTheme="minorEastAsia" w:eastAsiaTheme="minorEastAsia"/>
                <w:kern w:val="0"/>
                <w:sz w:val="21"/>
                <w:szCs w:val="21"/>
                <w:highlight w:val="none"/>
              </w:rPr>
              <w:t>单位名称：</w:t>
            </w:r>
            <w:r>
              <w:rPr>
                <w:rFonts w:cs="仿宋_GB2312" w:asciiTheme="minorEastAsia" w:hAnsiTheme="minorEastAsia" w:eastAsiaTheme="minorEastAsia"/>
                <w:kern w:val="0"/>
                <w:sz w:val="21"/>
                <w:szCs w:val="21"/>
                <w:highlight w:val="none"/>
              </w:rPr>
              <w:br w:type="textWrapping"/>
            </w:r>
            <w:r>
              <w:rPr>
                <w:rFonts w:cs="仿宋_GB2312" w:asciiTheme="minorEastAsia" w:hAnsiTheme="minorEastAsia" w:eastAsiaTheme="minorEastAsia"/>
                <w:kern w:val="0"/>
                <w:sz w:val="21"/>
                <w:szCs w:val="21"/>
                <w:highlight w:val="none"/>
              </w:rPr>
              <w:br w:type="textWrapping"/>
            </w:r>
            <w:r>
              <w:rPr>
                <w:rFonts w:hint="eastAsia" w:cs="仿宋_GB2312" w:asciiTheme="minorEastAsia" w:hAnsiTheme="minorEastAsia" w:eastAsiaTheme="minorEastAsia"/>
                <w:kern w:val="0"/>
                <w:sz w:val="21"/>
                <w:szCs w:val="21"/>
                <w:highlight w:val="none"/>
              </w:rPr>
              <w:t>询标内容：</w:t>
            </w:r>
          </w:p>
        </w:tc>
      </w:tr>
      <w:tr>
        <w:tblPrEx>
          <w:tblCellMar>
            <w:top w:w="0" w:type="dxa"/>
            <w:left w:w="108" w:type="dxa"/>
            <w:bottom w:w="0" w:type="dxa"/>
            <w:right w:w="108" w:type="dxa"/>
          </w:tblCellMar>
        </w:tblPrEx>
        <w:trPr>
          <w:trHeight w:val="2413" w:hRule="atLeast"/>
        </w:trPr>
        <w:tc>
          <w:tcPr>
            <w:tcW w:w="1291" w:type="dxa"/>
            <w:tcBorders>
              <w:top w:val="single" w:color="auto" w:sz="4" w:space="0"/>
              <w:left w:val="single" w:color="auto" w:sz="4" w:space="0"/>
              <w:bottom w:val="single" w:color="auto" w:sz="4" w:space="0"/>
              <w:right w:val="nil"/>
            </w:tcBorders>
            <w:vAlign w:val="center"/>
          </w:tcPr>
          <w:p>
            <w:pPr>
              <w:widowControl/>
              <w:jc w:val="center"/>
              <w:rPr>
                <w:rFonts w:cs="仿宋_GB2312" w:asciiTheme="minorEastAsia" w:hAnsiTheme="minorEastAsia" w:eastAsiaTheme="minorEastAsia"/>
                <w:kern w:val="0"/>
                <w:sz w:val="21"/>
                <w:szCs w:val="21"/>
                <w:highlight w:val="none"/>
              </w:rPr>
            </w:pPr>
            <w:r>
              <w:rPr>
                <w:rFonts w:hint="eastAsia" w:cs="仿宋_GB2312" w:asciiTheme="minorEastAsia" w:hAnsiTheme="minorEastAsia" w:eastAsiaTheme="minorEastAsia"/>
                <w:kern w:val="0"/>
                <w:sz w:val="21"/>
                <w:szCs w:val="21"/>
                <w:highlight w:val="none"/>
              </w:rPr>
              <w:t>投标人说明</w:t>
            </w:r>
          </w:p>
        </w:tc>
        <w:tc>
          <w:tcPr>
            <w:tcW w:w="7798" w:type="dxa"/>
            <w:tcBorders>
              <w:top w:val="single" w:color="auto" w:sz="4" w:space="0"/>
              <w:left w:val="single" w:color="auto" w:sz="4" w:space="0"/>
              <w:bottom w:val="nil"/>
              <w:right w:val="single" w:color="000000" w:sz="4" w:space="0"/>
            </w:tcBorders>
            <w:noWrap/>
            <w:vAlign w:val="center"/>
          </w:tcPr>
          <w:p>
            <w:pPr>
              <w:widowControl/>
              <w:rPr>
                <w:rFonts w:cs="仿宋_GB2312" w:asciiTheme="minorEastAsia" w:hAnsiTheme="minorEastAsia" w:eastAsiaTheme="minorEastAsia"/>
                <w:kern w:val="0"/>
                <w:sz w:val="21"/>
                <w:szCs w:val="21"/>
                <w:highlight w:val="none"/>
              </w:rPr>
            </w:pPr>
          </w:p>
        </w:tc>
      </w:tr>
      <w:tr>
        <w:tblPrEx>
          <w:tblCellMar>
            <w:top w:w="0" w:type="dxa"/>
            <w:left w:w="108" w:type="dxa"/>
            <w:bottom w:w="0" w:type="dxa"/>
            <w:right w:w="108" w:type="dxa"/>
          </w:tblCellMar>
        </w:tblPrEx>
        <w:trPr>
          <w:trHeight w:val="2150" w:hRule="atLeast"/>
        </w:trPr>
        <w:tc>
          <w:tcPr>
            <w:tcW w:w="1291" w:type="dxa"/>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eastAsiaTheme="minorEastAsia"/>
                <w:kern w:val="0"/>
                <w:sz w:val="21"/>
                <w:szCs w:val="21"/>
                <w:highlight w:val="none"/>
              </w:rPr>
            </w:pPr>
            <w:r>
              <w:rPr>
                <w:rFonts w:hint="eastAsia" w:cs="仿宋_GB2312" w:asciiTheme="minorEastAsia" w:hAnsiTheme="minorEastAsia" w:eastAsiaTheme="minorEastAsia"/>
                <w:kern w:val="0"/>
                <w:sz w:val="21"/>
                <w:szCs w:val="21"/>
                <w:highlight w:val="none"/>
              </w:rPr>
              <w:t>评委意见</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cs="仿宋_GB2312" w:asciiTheme="minorEastAsia" w:hAnsiTheme="minorEastAsia" w:eastAsiaTheme="minorEastAsia"/>
                <w:kern w:val="0"/>
                <w:sz w:val="21"/>
                <w:szCs w:val="21"/>
                <w:highlight w:val="none"/>
              </w:rPr>
            </w:pPr>
            <w:r>
              <w:rPr>
                <w:rFonts w:hint="eastAsia" w:cs="仿宋_GB2312" w:asciiTheme="minorEastAsia" w:hAnsiTheme="minorEastAsia" w:eastAsiaTheme="minorEastAsia"/>
                <w:kern w:val="0"/>
                <w:sz w:val="21"/>
                <w:szCs w:val="21"/>
                <w:highlight w:val="none"/>
              </w:rPr>
              <w:t>　</w:t>
            </w:r>
          </w:p>
        </w:tc>
      </w:tr>
      <w:tr>
        <w:tblPrEx>
          <w:tblCellMar>
            <w:top w:w="0" w:type="dxa"/>
            <w:left w:w="108" w:type="dxa"/>
            <w:bottom w:w="0" w:type="dxa"/>
            <w:right w:w="108" w:type="dxa"/>
          </w:tblCellMar>
        </w:tblPrEx>
        <w:trPr>
          <w:trHeight w:val="1556" w:hRule="atLeast"/>
        </w:trPr>
        <w:tc>
          <w:tcPr>
            <w:tcW w:w="1291" w:type="dxa"/>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eastAsiaTheme="minorEastAsia"/>
                <w:kern w:val="0"/>
                <w:sz w:val="21"/>
                <w:szCs w:val="21"/>
                <w:highlight w:val="none"/>
              </w:rPr>
            </w:pPr>
            <w:r>
              <w:rPr>
                <w:rFonts w:hint="eastAsia" w:cs="仿宋_GB2312" w:asciiTheme="minorEastAsia" w:hAnsiTheme="minorEastAsia" w:eastAsiaTheme="minorEastAsia"/>
                <w:kern w:val="0"/>
                <w:sz w:val="21"/>
                <w:szCs w:val="21"/>
                <w:highlight w:val="none"/>
              </w:rPr>
              <w:t>评委签章</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cs="仿宋_GB2312" w:asciiTheme="minorEastAsia" w:hAnsiTheme="minorEastAsia" w:eastAsiaTheme="minorEastAsia"/>
                <w:kern w:val="0"/>
                <w:sz w:val="21"/>
                <w:szCs w:val="21"/>
                <w:highlight w:val="none"/>
              </w:rPr>
            </w:pPr>
            <w:r>
              <w:rPr>
                <w:rFonts w:hint="eastAsia" w:cs="仿宋_GB2312" w:asciiTheme="minorEastAsia" w:hAnsiTheme="minorEastAsia" w:eastAsiaTheme="minorEastAsia"/>
                <w:kern w:val="0"/>
                <w:sz w:val="21"/>
                <w:szCs w:val="21"/>
                <w:highlight w:val="none"/>
              </w:rPr>
              <w:t>　</w:t>
            </w:r>
          </w:p>
        </w:tc>
      </w:tr>
      <w:tr>
        <w:tblPrEx>
          <w:tblCellMar>
            <w:top w:w="0" w:type="dxa"/>
            <w:left w:w="108" w:type="dxa"/>
            <w:bottom w:w="0" w:type="dxa"/>
            <w:right w:w="108" w:type="dxa"/>
          </w:tblCellMar>
        </w:tblPrEx>
        <w:trPr>
          <w:trHeight w:val="1556" w:hRule="atLeast"/>
        </w:trPr>
        <w:tc>
          <w:tcPr>
            <w:tcW w:w="1291" w:type="dxa"/>
            <w:tcBorders>
              <w:top w:val="single" w:color="auto" w:sz="4" w:space="0"/>
              <w:left w:val="single" w:color="auto" w:sz="4" w:space="0"/>
              <w:bottom w:val="single" w:color="auto" w:sz="4" w:space="0"/>
              <w:right w:val="single" w:color="auto" w:sz="4" w:space="0"/>
            </w:tcBorders>
            <w:vAlign w:val="center"/>
          </w:tcPr>
          <w:p>
            <w:pPr>
              <w:widowControl/>
              <w:jc w:val="center"/>
              <w:rPr>
                <w:rFonts w:cs="仿宋_GB2312" w:asciiTheme="minorEastAsia" w:hAnsiTheme="minorEastAsia" w:eastAsiaTheme="minorEastAsia"/>
                <w:kern w:val="0"/>
                <w:sz w:val="21"/>
                <w:szCs w:val="21"/>
                <w:highlight w:val="none"/>
              </w:rPr>
            </w:pPr>
            <w:r>
              <w:rPr>
                <w:rFonts w:hint="eastAsia" w:cs="仿宋_GB2312" w:asciiTheme="minorEastAsia" w:hAnsiTheme="minorEastAsia" w:eastAsiaTheme="minorEastAsia"/>
                <w:kern w:val="0"/>
                <w:sz w:val="21"/>
                <w:szCs w:val="21"/>
                <w:highlight w:val="none"/>
              </w:rPr>
              <w:t>监督员签章</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cs="仿宋_GB2312" w:asciiTheme="minorEastAsia" w:hAnsiTheme="minorEastAsia" w:eastAsiaTheme="minorEastAsia"/>
                <w:kern w:val="0"/>
                <w:sz w:val="21"/>
                <w:szCs w:val="21"/>
                <w:highlight w:val="none"/>
              </w:rPr>
            </w:pPr>
          </w:p>
        </w:tc>
      </w:tr>
    </w:tbl>
    <w:p>
      <w:pPr>
        <w:autoSpaceDE w:val="0"/>
        <w:autoSpaceDN w:val="0"/>
        <w:adjustRightInd w:val="0"/>
        <w:spacing w:line="400" w:lineRule="exact"/>
        <w:jc w:val="left"/>
        <w:rPr>
          <w:rFonts w:ascii="_x000B__x000C_" w:hAnsi="_x000B__x000C_"/>
          <w:kern w:val="0"/>
          <w:szCs w:val="21"/>
          <w:highlight w:val="none"/>
        </w:rPr>
      </w:pPr>
    </w:p>
    <w:p>
      <w:pPr>
        <w:keepNext/>
        <w:keepLines/>
        <w:adjustRightInd w:val="0"/>
        <w:snapToGrid w:val="0"/>
        <w:spacing w:before="120" w:beforeLines="50" w:after="120" w:afterLines="50" w:line="600" w:lineRule="exact"/>
        <w:outlineLvl w:val="1"/>
        <w:rPr>
          <w:rFonts w:ascii="仿宋_GB2312" w:hAnsi="宋体" w:eastAsia="仿宋_GB2312"/>
          <w:b/>
          <w:bCs/>
          <w:sz w:val="32"/>
          <w:szCs w:val="32"/>
          <w:highlight w:val="none"/>
        </w:rPr>
      </w:pPr>
      <w:r>
        <w:rPr>
          <w:rFonts w:ascii="_x000B__x000C_" w:hAnsi="_x000B__x000C_"/>
          <w:b/>
          <w:bCs/>
          <w:kern w:val="0"/>
          <w:sz w:val="32"/>
          <w:szCs w:val="21"/>
          <w:highlight w:val="none"/>
        </w:rPr>
        <w:br w:type="page"/>
      </w:r>
      <w:bookmarkStart w:id="591" w:name="_Toc15986"/>
      <w:bookmarkStart w:id="592" w:name="_Toc1535249362"/>
      <w:bookmarkStart w:id="593" w:name="_Toc1687665545"/>
      <w:r>
        <w:rPr>
          <w:rFonts w:hint="eastAsia" w:ascii="仿宋_GB2312" w:hAnsi="宋体" w:eastAsia="仿宋_GB2312"/>
          <w:sz w:val="28"/>
          <w:szCs w:val="28"/>
          <w:highlight w:val="none"/>
        </w:rPr>
        <w:t>附件三： 询标回复函</w:t>
      </w:r>
      <w:bookmarkEnd w:id="591"/>
      <w:bookmarkEnd w:id="592"/>
      <w:bookmarkEnd w:id="593"/>
    </w:p>
    <w:tbl>
      <w:tblPr>
        <w:tblStyle w:val="29"/>
        <w:tblW w:w="9089" w:type="dxa"/>
        <w:tblInd w:w="93" w:type="dxa"/>
        <w:tblLayout w:type="fixed"/>
        <w:tblCellMar>
          <w:top w:w="0" w:type="dxa"/>
          <w:left w:w="108" w:type="dxa"/>
          <w:bottom w:w="0" w:type="dxa"/>
          <w:right w:w="108" w:type="dxa"/>
        </w:tblCellMar>
      </w:tblPr>
      <w:tblGrid>
        <w:gridCol w:w="1291"/>
        <w:gridCol w:w="1832"/>
        <w:gridCol w:w="1041"/>
        <w:gridCol w:w="1041"/>
        <w:gridCol w:w="1041"/>
        <w:gridCol w:w="2843"/>
      </w:tblGrid>
      <w:tr>
        <w:tblPrEx>
          <w:tblCellMar>
            <w:top w:w="0" w:type="dxa"/>
            <w:left w:w="108" w:type="dxa"/>
            <w:bottom w:w="0" w:type="dxa"/>
            <w:right w:w="108" w:type="dxa"/>
          </w:tblCellMar>
        </w:tblPrEx>
        <w:trPr>
          <w:trHeight w:val="690" w:hRule="atLeast"/>
        </w:trPr>
        <w:tc>
          <w:tcPr>
            <w:tcW w:w="9089" w:type="dxa"/>
            <w:gridSpan w:val="6"/>
            <w:tcBorders>
              <w:top w:val="nil"/>
              <w:left w:val="nil"/>
              <w:bottom w:val="nil"/>
              <w:right w:val="nil"/>
            </w:tcBorders>
            <w:noWrap/>
            <w:vAlign w:val="center"/>
          </w:tcPr>
          <w:p>
            <w:pPr>
              <w:widowControl/>
              <w:jc w:val="center"/>
              <w:rPr>
                <w:rFonts w:ascii="黑体" w:hAnsi="黑体" w:eastAsia="黑体" w:cs="宋体"/>
                <w:b/>
                <w:bCs/>
                <w:kern w:val="0"/>
                <w:sz w:val="44"/>
                <w:szCs w:val="44"/>
                <w:highlight w:val="none"/>
              </w:rPr>
            </w:pPr>
            <w:r>
              <w:rPr>
                <w:rFonts w:hint="eastAsia" w:ascii="黑体" w:hAnsi="黑体" w:eastAsia="黑体" w:cs="宋体"/>
                <w:kern w:val="0"/>
                <w:sz w:val="44"/>
                <w:szCs w:val="44"/>
                <w:highlight w:val="none"/>
              </w:rPr>
              <w:t>询标回复函</w:t>
            </w:r>
          </w:p>
          <w:p>
            <w:pPr>
              <w:widowControl/>
              <w:rPr>
                <w:rFonts w:cs="Arial" w:asciiTheme="minorEastAsia" w:hAnsiTheme="minorEastAsia" w:eastAsiaTheme="minorEastAsia"/>
                <w:kern w:val="0"/>
                <w:szCs w:val="21"/>
                <w:highlight w:val="none"/>
              </w:rPr>
            </w:pPr>
            <w:r>
              <w:rPr>
                <w:rFonts w:hint="eastAsia" w:asciiTheme="minorEastAsia" w:hAnsiTheme="minorEastAsia" w:eastAsiaTheme="minorEastAsia"/>
                <w:kern w:val="0"/>
                <w:szCs w:val="21"/>
                <w:highlight w:val="none"/>
              </w:rPr>
              <w:t>项目（标段）名称：</w:t>
            </w:r>
            <w:r>
              <w:rPr>
                <w:rFonts w:asciiTheme="minorEastAsia" w:hAnsiTheme="minorEastAsia" w:eastAsiaTheme="minorEastAsia"/>
                <w:kern w:val="0"/>
                <w:szCs w:val="21"/>
                <w:highlight w:val="none"/>
              </w:rPr>
              <w:t xml:space="preserve">                       </w:t>
            </w:r>
            <w:r>
              <w:rPr>
                <w:rFonts w:hint="eastAsia" w:asciiTheme="minorEastAsia" w:hAnsiTheme="minorEastAsia" w:eastAsiaTheme="minorEastAsia"/>
                <w:kern w:val="0"/>
                <w:szCs w:val="21"/>
                <w:highlight w:val="none"/>
              </w:rPr>
              <w:t>项目</w:t>
            </w:r>
            <w:r>
              <w:rPr>
                <w:rFonts w:hint="eastAsia" w:cs="Arial" w:asciiTheme="minorEastAsia" w:hAnsiTheme="minorEastAsia" w:eastAsiaTheme="minorEastAsia"/>
                <w:kern w:val="0"/>
                <w:szCs w:val="21"/>
                <w:highlight w:val="none"/>
              </w:rPr>
              <w:t>（</w:t>
            </w:r>
            <w:r>
              <w:rPr>
                <w:rFonts w:hint="eastAsia" w:asciiTheme="minorEastAsia" w:hAnsiTheme="minorEastAsia" w:eastAsiaTheme="minorEastAsia"/>
                <w:kern w:val="0"/>
                <w:szCs w:val="21"/>
                <w:highlight w:val="none"/>
              </w:rPr>
              <w:t>标段）编号：</w:t>
            </w:r>
          </w:p>
          <w:p>
            <w:pPr>
              <w:widowControl/>
              <w:rPr>
                <w:rFonts w:cs="Arial" w:asciiTheme="minorEastAsia" w:hAnsiTheme="minorEastAsia" w:eastAsiaTheme="minorEastAsia"/>
                <w:kern w:val="0"/>
                <w:szCs w:val="21"/>
                <w:highlight w:val="none"/>
              </w:rPr>
            </w:pPr>
          </w:p>
          <w:p>
            <w:pPr>
              <w:widowControl/>
              <w:rPr>
                <w:rFonts w:ascii="黑体" w:hAnsi="黑体" w:eastAsia="黑体" w:cs="宋体"/>
                <w:b/>
                <w:bCs/>
                <w:kern w:val="0"/>
                <w:sz w:val="48"/>
                <w:szCs w:val="48"/>
                <w:highlight w:val="none"/>
              </w:rPr>
            </w:pPr>
            <w:r>
              <w:rPr>
                <w:rFonts w:hint="eastAsia" w:cs="Arial" w:asciiTheme="minorEastAsia" w:hAnsiTheme="minorEastAsia" w:eastAsiaTheme="minorEastAsia"/>
                <w:kern w:val="0"/>
                <w:szCs w:val="21"/>
                <w:highlight w:val="none"/>
              </w:rPr>
              <w:t>日期：</w:t>
            </w:r>
            <w:r>
              <w:rPr>
                <w:rFonts w:cs="Arial" w:asciiTheme="minorEastAsia" w:hAnsiTheme="minorEastAsia" w:eastAsiaTheme="minorEastAsia"/>
                <w:kern w:val="0"/>
                <w:szCs w:val="21"/>
                <w:highlight w:val="none"/>
                <w:u w:val="single"/>
              </w:rPr>
              <w:t xml:space="preserve">     </w:t>
            </w:r>
            <w:r>
              <w:rPr>
                <w:rFonts w:hint="eastAsia" w:cs="Arial" w:asciiTheme="minorEastAsia" w:hAnsiTheme="minorEastAsia" w:eastAsiaTheme="minorEastAsia"/>
                <w:kern w:val="0"/>
                <w:szCs w:val="21"/>
                <w:highlight w:val="none"/>
              </w:rPr>
              <w:t>年</w:t>
            </w:r>
            <w:r>
              <w:rPr>
                <w:rFonts w:cs="Arial" w:asciiTheme="minorEastAsia" w:hAnsiTheme="minorEastAsia" w:eastAsiaTheme="minorEastAsia"/>
                <w:kern w:val="0"/>
                <w:szCs w:val="21"/>
                <w:highlight w:val="none"/>
                <w:u w:val="single"/>
              </w:rPr>
              <w:t xml:space="preserve">    </w:t>
            </w:r>
            <w:r>
              <w:rPr>
                <w:rFonts w:hint="eastAsia" w:cs="Arial" w:asciiTheme="minorEastAsia" w:hAnsiTheme="minorEastAsia" w:eastAsiaTheme="minorEastAsia"/>
                <w:kern w:val="0"/>
                <w:szCs w:val="21"/>
                <w:highlight w:val="none"/>
              </w:rPr>
              <w:t>月</w:t>
            </w:r>
            <w:r>
              <w:rPr>
                <w:rFonts w:cs="Arial" w:asciiTheme="minorEastAsia" w:hAnsiTheme="minorEastAsia" w:eastAsiaTheme="minorEastAsia"/>
                <w:kern w:val="0"/>
                <w:szCs w:val="21"/>
                <w:highlight w:val="none"/>
                <w:u w:val="single"/>
              </w:rPr>
              <w:t xml:space="preserve">    </w:t>
            </w:r>
            <w:r>
              <w:rPr>
                <w:rFonts w:hint="eastAsia" w:cs="Arial" w:asciiTheme="minorEastAsia" w:hAnsiTheme="minorEastAsia" w:eastAsiaTheme="minorEastAsia"/>
                <w:kern w:val="0"/>
                <w:szCs w:val="21"/>
                <w:highlight w:val="none"/>
              </w:rPr>
              <w:t>日</w:t>
            </w:r>
          </w:p>
        </w:tc>
      </w:tr>
      <w:tr>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pPr>
              <w:widowControl/>
              <w:jc w:val="center"/>
              <w:rPr>
                <w:rFonts w:cs="宋体" w:asciiTheme="minorEastAsia" w:hAnsiTheme="minorEastAsia" w:eastAsiaTheme="minorEastAsia"/>
                <w:kern w:val="0"/>
                <w:sz w:val="21"/>
                <w:szCs w:val="21"/>
                <w:highlight w:val="none"/>
              </w:rPr>
            </w:pPr>
            <w:r>
              <w:rPr>
                <w:rFonts w:hint="eastAsia" w:cs="宋体" w:asciiTheme="minorEastAsia" w:hAnsiTheme="minorEastAsia" w:eastAsiaTheme="minorEastAsia"/>
                <w:kern w:val="0"/>
                <w:sz w:val="21"/>
                <w:szCs w:val="21"/>
                <w:highlight w:val="none"/>
              </w:rPr>
              <w:t>询</w:t>
            </w:r>
            <w:r>
              <w:rPr>
                <w:rFonts w:cs="宋体" w:asciiTheme="minorEastAsia" w:hAnsiTheme="minorEastAsia" w:eastAsiaTheme="minorEastAsia"/>
                <w:kern w:val="0"/>
                <w:sz w:val="21"/>
                <w:szCs w:val="21"/>
                <w:highlight w:val="none"/>
              </w:rPr>
              <w:t xml:space="preserve"> 标 内 容</w:t>
            </w:r>
          </w:p>
        </w:tc>
        <w:tc>
          <w:tcPr>
            <w:tcW w:w="7798" w:type="dxa"/>
            <w:gridSpan w:val="5"/>
            <w:tcBorders>
              <w:top w:val="single" w:color="auto" w:sz="4" w:space="0"/>
              <w:left w:val="nil"/>
              <w:bottom w:val="nil"/>
              <w:right w:val="single" w:color="000000" w:sz="4" w:space="0"/>
            </w:tcBorders>
          </w:tcPr>
          <w:p>
            <w:pPr>
              <w:widowControl/>
              <w:jc w:val="left"/>
              <w:rPr>
                <w:rFonts w:cs="宋体" w:asciiTheme="minorEastAsia" w:hAnsiTheme="minorEastAsia" w:eastAsiaTheme="minorEastAsia"/>
                <w:kern w:val="0"/>
                <w:sz w:val="21"/>
                <w:szCs w:val="21"/>
                <w:highlight w:val="none"/>
              </w:rPr>
            </w:pPr>
            <w:r>
              <w:rPr>
                <w:rFonts w:hint="eastAsia" w:cs="宋体" w:asciiTheme="minorEastAsia" w:hAnsiTheme="minorEastAsia" w:eastAsiaTheme="minorEastAsia"/>
                <w:kern w:val="0"/>
                <w:sz w:val="21"/>
                <w:szCs w:val="21"/>
                <w:highlight w:val="none"/>
              </w:rPr>
              <w:t>单位名称：</w:t>
            </w:r>
            <w:r>
              <w:rPr>
                <w:rFonts w:cs="宋体" w:asciiTheme="minorEastAsia" w:hAnsiTheme="minorEastAsia" w:eastAsiaTheme="minorEastAsia"/>
                <w:kern w:val="0"/>
                <w:sz w:val="21"/>
                <w:szCs w:val="21"/>
                <w:highlight w:val="none"/>
              </w:rPr>
              <w:br w:type="textWrapping"/>
            </w:r>
            <w:r>
              <w:rPr>
                <w:rFonts w:cs="宋体" w:asciiTheme="minorEastAsia" w:hAnsiTheme="minorEastAsia" w:eastAsiaTheme="minorEastAsia"/>
                <w:kern w:val="0"/>
                <w:sz w:val="21"/>
                <w:szCs w:val="21"/>
                <w:highlight w:val="none"/>
              </w:rPr>
              <w:br w:type="textWrapping"/>
            </w:r>
            <w:r>
              <w:rPr>
                <w:rFonts w:hint="eastAsia" w:cs="宋体" w:asciiTheme="minorEastAsia" w:hAnsiTheme="minorEastAsia" w:eastAsiaTheme="minorEastAsia"/>
                <w:kern w:val="0"/>
                <w:sz w:val="21"/>
                <w:szCs w:val="21"/>
                <w:highlight w:val="none"/>
              </w:rPr>
              <w:t>询标内容：</w:t>
            </w:r>
          </w:p>
        </w:tc>
      </w:tr>
      <w:tr>
        <w:tblPrEx>
          <w:tblCellMar>
            <w:top w:w="0" w:type="dxa"/>
            <w:left w:w="108" w:type="dxa"/>
            <w:bottom w:w="0" w:type="dxa"/>
            <w:right w:w="108" w:type="dxa"/>
          </w:tblCellMar>
        </w:tblPrEx>
        <w:trPr>
          <w:trHeight w:val="2413" w:hRule="atLeast"/>
        </w:trPr>
        <w:tc>
          <w:tcPr>
            <w:tcW w:w="1291" w:type="dxa"/>
            <w:vMerge w:val="restart"/>
            <w:tcBorders>
              <w:top w:val="single" w:color="auto" w:sz="4" w:space="0"/>
              <w:left w:val="single" w:color="auto" w:sz="4" w:space="0"/>
              <w:bottom w:val="single" w:color="auto" w:sz="4" w:space="0"/>
              <w:right w:val="nil"/>
            </w:tcBorders>
            <w:vAlign w:val="center"/>
          </w:tcPr>
          <w:p>
            <w:pPr>
              <w:widowControl/>
              <w:jc w:val="center"/>
              <w:rPr>
                <w:rFonts w:cs="宋体" w:asciiTheme="minorEastAsia" w:hAnsiTheme="minorEastAsia" w:eastAsiaTheme="minorEastAsia"/>
                <w:kern w:val="0"/>
                <w:sz w:val="21"/>
                <w:szCs w:val="21"/>
                <w:highlight w:val="none"/>
              </w:rPr>
            </w:pPr>
            <w:r>
              <w:rPr>
                <w:rFonts w:hint="eastAsia" w:cs="宋体" w:asciiTheme="minorEastAsia" w:hAnsiTheme="minorEastAsia" w:eastAsiaTheme="minorEastAsia"/>
                <w:kern w:val="0"/>
                <w:sz w:val="21"/>
                <w:szCs w:val="21"/>
                <w:highlight w:val="none"/>
              </w:rPr>
              <w:t>投标人说明并盖电子章</w:t>
            </w:r>
          </w:p>
        </w:tc>
        <w:tc>
          <w:tcPr>
            <w:tcW w:w="7798" w:type="dxa"/>
            <w:gridSpan w:val="5"/>
            <w:tcBorders>
              <w:top w:val="single" w:color="auto" w:sz="4" w:space="0"/>
              <w:left w:val="single" w:color="auto" w:sz="4" w:space="0"/>
              <w:bottom w:val="nil"/>
              <w:right w:val="single" w:color="000000" w:sz="4" w:space="0"/>
            </w:tcBorders>
            <w:noWrap/>
            <w:vAlign w:val="center"/>
          </w:tcPr>
          <w:p>
            <w:pPr>
              <w:widowControl/>
              <w:jc w:val="center"/>
              <w:rPr>
                <w:rFonts w:cs="宋体" w:asciiTheme="minorEastAsia" w:hAnsiTheme="minorEastAsia" w:eastAsiaTheme="minorEastAsia"/>
                <w:kern w:val="0"/>
                <w:sz w:val="21"/>
                <w:szCs w:val="21"/>
                <w:highlight w:val="none"/>
              </w:rPr>
            </w:pPr>
            <w:r>
              <w:rPr>
                <w:rFonts w:hint="eastAsia" w:cs="宋体" w:asciiTheme="minorEastAsia" w:hAnsiTheme="minorEastAsia" w:eastAsiaTheme="minorEastAsia"/>
                <w:kern w:val="0"/>
                <w:sz w:val="21"/>
                <w:szCs w:val="21"/>
                <w:highlight w:val="none"/>
              </w:rPr>
              <w:t>　</w:t>
            </w:r>
          </w:p>
        </w:tc>
      </w:tr>
      <w:tr>
        <w:tblPrEx>
          <w:tblCellMar>
            <w:top w:w="0" w:type="dxa"/>
            <w:left w:w="108" w:type="dxa"/>
            <w:bottom w:w="0" w:type="dxa"/>
            <w:right w:w="108" w:type="dxa"/>
          </w:tblCellMar>
        </w:tblPrEx>
        <w:trPr>
          <w:trHeight w:val="615" w:hRule="atLeast"/>
        </w:trPr>
        <w:tc>
          <w:tcPr>
            <w:tcW w:w="1291" w:type="dxa"/>
            <w:vMerge w:val="continue"/>
            <w:tcBorders>
              <w:top w:val="single" w:color="auto" w:sz="4" w:space="0"/>
              <w:left w:val="single" w:color="auto" w:sz="4" w:space="0"/>
              <w:bottom w:val="single" w:color="auto" w:sz="4" w:space="0"/>
              <w:right w:val="nil"/>
            </w:tcBorders>
            <w:vAlign w:val="center"/>
          </w:tcPr>
          <w:p>
            <w:pPr>
              <w:widowControl/>
              <w:jc w:val="left"/>
              <w:rPr>
                <w:rFonts w:cs="宋体" w:asciiTheme="minorEastAsia" w:hAnsiTheme="minorEastAsia" w:eastAsiaTheme="minorEastAsia"/>
                <w:kern w:val="0"/>
                <w:sz w:val="21"/>
                <w:szCs w:val="21"/>
                <w:highlight w:val="none"/>
              </w:rPr>
            </w:pPr>
          </w:p>
        </w:tc>
        <w:tc>
          <w:tcPr>
            <w:tcW w:w="1832" w:type="dxa"/>
            <w:tcBorders>
              <w:top w:val="nil"/>
              <w:left w:val="single" w:color="auto" w:sz="4" w:space="0"/>
              <w:bottom w:val="nil"/>
              <w:right w:val="nil"/>
            </w:tcBorders>
            <w:noWrap/>
            <w:vAlign w:val="center"/>
          </w:tcPr>
          <w:p>
            <w:pPr>
              <w:widowControl/>
              <w:jc w:val="left"/>
              <w:rPr>
                <w:rFonts w:cs="宋体" w:asciiTheme="minorEastAsia" w:hAnsiTheme="minorEastAsia" w:eastAsiaTheme="minorEastAsia"/>
                <w:kern w:val="0"/>
                <w:sz w:val="21"/>
                <w:szCs w:val="21"/>
                <w:highlight w:val="none"/>
              </w:rPr>
            </w:pPr>
            <w:r>
              <w:rPr>
                <w:rFonts w:hint="eastAsia" w:cs="宋体" w:asciiTheme="minorEastAsia" w:hAnsiTheme="minorEastAsia" w:eastAsiaTheme="minorEastAsia"/>
                <w:kern w:val="0"/>
                <w:sz w:val="21"/>
                <w:szCs w:val="21"/>
                <w:highlight w:val="none"/>
              </w:rPr>
              <w:t>投标单位：</w:t>
            </w:r>
          </w:p>
        </w:tc>
        <w:tc>
          <w:tcPr>
            <w:tcW w:w="1041" w:type="dxa"/>
            <w:tcBorders>
              <w:top w:val="nil"/>
              <w:left w:val="nil"/>
              <w:bottom w:val="nil"/>
              <w:right w:val="nil"/>
            </w:tcBorders>
            <w:noWrap/>
            <w:vAlign w:val="center"/>
          </w:tcPr>
          <w:p>
            <w:pPr>
              <w:widowControl/>
              <w:jc w:val="left"/>
              <w:rPr>
                <w:rFonts w:cs="宋体" w:asciiTheme="minorEastAsia" w:hAnsiTheme="minorEastAsia" w:eastAsiaTheme="minorEastAsia"/>
                <w:kern w:val="0"/>
                <w:sz w:val="21"/>
                <w:szCs w:val="21"/>
                <w:highlight w:val="none"/>
              </w:rPr>
            </w:pPr>
          </w:p>
        </w:tc>
        <w:tc>
          <w:tcPr>
            <w:tcW w:w="1041" w:type="dxa"/>
            <w:tcBorders>
              <w:top w:val="nil"/>
              <w:left w:val="nil"/>
              <w:bottom w:val="nil"/>
              <w:right w:val="nil"/>
            </w:tcBorders>
            <w:noWrap/>
            <w:vAlign w:val="center"/>
          </w:tcPr>
          <w:p>
            <w:pPr>
              <w:widowControl/>
              <w:jc w:val="left"/>
              <w:rPr>
                <w:rFonts w:cs="宋体" w:asciiTheme="minorEastAsia" w:hAnsiTheme="minorEastAsia" w:eastAsiaTheme="minorEastAsia"/>
                <w:kern w:val="0"/>
                <w:sz w:val="21"/>
                <w:szCs w:val="21"/>
                <w:highlight w:val="none"/>
              </w:rPr>
            </w:pPr>
          </w:p>
        </w:tc>
        <w:tc>
          <w:tcPr>
            <w:tcW w:w="1041" w:type="dxa"/>
            <w:tcBorders>
              <w:top w:val="nil"/>
              <w:left w:val="nil"/>
              <w:bottom w:val="nil"/>
              <w:right w:val="nil"/>
            </w:tcBorders>
            <w:noWrap/>
            <w:vAlign w:val="center"/>
          </w:tcPr>
          <w:p>
            <w:pPr>
              <w:widowControl/>
              <w:jc w:val="left"/>
              <w:rPr>
                <w:rFonts w:cs="宋体" w:asciiTheme="minorEastAsia" w:hAnsiTheme="minorEastAsia" w:eastAsiaTheme="minorEastAsia"/>
                <w:kern w:val="0"/>
                <w:sz w:val="21"/>
                <w:szCs w:val="21"/>
                <w:highlight w:val="none"/>
              </w:rPr>
            </w:pPr>
          </w:p>
        </w:tc>
        <w:tc>
          <w:tcPr>
            <w:tcW w:w="2843" w:type="dxa"/>
            <w:vMerge w:val="restart"/>
            <w:tcBorders>
              <w:top w:val="nil"/>
              <w:left w:val="nil"/>
              <w:right w:val="single" w:color="auto" w:sz="4" w:space="0"/>
            </w:tcBorders>
            <w:noWrap/>
            <w:vAlign w:val="center"/>
          </w:tcPr>
          <w:p>
            <w:pPr>
              <w:widowControl/>
              <w:jc w:val="left"/>
              <w:rPr>
                <w:rFonts w:cs="宋体" w:asciiTheme="minorEastAsia" w:hAnsiTheme="minorEastAsia" w:eastAsiaTheme="minorEastAsia"/>
                <w:kern w:val="0"/>
                <w:sz w:val="21"/>
                <w:szCs w:val="21"/>
                <w:highlight w:val="none"/>
              </w:rPr>
            </w:pPr>
            <w:r>
              <w:rPr>
                <w:rFonts w:hint="eastAsia" w:asciiTheme="minorEastAsia" w:hAnsiTheme="minorEastAsia" w:eastAsiaTheme="minorEastAsia"/>
                <w:snapToGrid w:val="0"/>
                <w:kern w:val="0"/>
                <w:sz w:val="21"/>
                <w:szCs w:val="21"/>
                <w:highlight w:val="none"/>
                <w:shd w:val="clear" w:color="auto" w:fill="FFFFFF"/>
              </w:rPr>
              <w:t>加盖投标人单位电子印章或法定代表人的个人电子印章</w:t>
            </w:r>
            <w:r>
              <w:rPr>
                <w:rFonts w:asciiTheme="minorEastAsia" w:hAnsiTheme="minorEastAsia" w:eastAsiaTheme="minorEastAsia"/>
                <w:snapToGrid w:val="0"/>
                <w:kern w:val="0"/>
                <w:sz w:val="21"/>
                <w:szCs w:val="21"/>
                <w:highlight w:val="none"/>
                <w:shd w:val="clear" w:color="auto" w:fill="FFFFFF"/>
              </w:rPr>
              <w:t>/电子签名章</w:t>
            </w:r>
            <w:r>
              <w:rPr>
                <w:rFonts w:hint="eastAsia" w:cs="宋体" w:asciiTheme="minorEastAsia" w:hAnsiTheme="minorEastAsia" w:eastAsiaTheme="minorEastAsia"/>
                <w:kern w:val="0"/>
                <w:sz w:val="21"/>
                <w:szCs w:val="21"/>
                <w:highlight w:val="none"/>
              </w:rPr>
              <w:t>　</w:t>
            </w:r>
          </w:p>
        </w:tc>
      </w:tr>
      <w:tr>
        <w:tblPrEx>
          <w:tblCellMar>
            <w:top w:w="0" w:type="dxa"/>
            <w:left w:w="108" w:type="dxa"/>
            <w:bottom w:w="0" w:type="dxa"/>
            <w:right w:w="108" w:type="dxa"/>
          </w:tblCellMar>
        </w:tblPrEx>
        <w:trPr>
          <w:trHeight w:val="2048" w:hRule="atLeast"/>
        </w:trPr>
        <w:tc>
          <w:tcPr>
            <w:tcW w:w="1291" w:type="dxa"/>
            <w:vMerge w:val="continue"/>
            <w:tcBorders>
              <w:top w:val="single" w:color="auto" w:sz="4" w:space="0"/>
              <w:left w:val="single" w:color="auto" w:sz="4" w:space="0"/>
              <w:bottom w:val="single" w:color="auto" w:sz="4" w:space="0"/>
              <w:right w:val="nil"/>
            </w:tcBorders>
            <w:vAlign w:val="center"/>
          </w:tcPr>
          <w:p>
            <w:pPr>
              <w:widowControl/>
              <w:jc w:val="left"/>
              <w:rPr>
                <w:rFonts w:ascii="宋体" w:hAnsi="宋体" w:cs="宋体"/>
                <w:kern w:val="0"/>
                <w:sz w:val="24"/>
                <w:szCs w:val="24"/>
                <w:highlight w:val="none"/>
              </w:rPr>
            </w:pPr>
          </w:p>
        </w:tc>
        <w:tc>
          <w:tcPr>
            <w:tcW w:w="2873" w:type="dxa"/>
            <w:gridSpan w:val="2"/>
            <w:tcBorders>
              <w:top w:val="nil"/>
              <w:left w:val="single" w:color="auto" w:sz="4" w:space="0"/>
              <w:bottom w:val="single" w:color="auto" w:sz="4" w:space="0"/>
              <w:right w:val="nil"/>
            </w:tcBorders>
            <w:noWrap/>
            <w:vAlign w:val="center"/>
          </w:tcPr>
          <w:p>
            <w:pPr>
              <w:widowControl/>
              <w:jc w:val="left"/>
              <w:rPr>
                <w:rFonts w:ascii="宋体" w:hAnsi="宋体" w:cs="宋体"/>
                <w:kern w:val="0"/>
                <w:sz w:val="24"/>
                <w:szCs w:val="24"/>
                <w:highlight w:val="none"/>
              </w:rPr>
            </w:pPr>
          </w:p>
        </w:tc>
        <w:tc>
          <w:tcPr>
            <w:tcW w:w="1041" w:type="dxa"/>
            <w:tcBorders>
              <w:top w:val="nil"/>
              <w:left w:val="nil"/>
              <w:bottom w:val="single" w:color="auto" w:sz="4" w:space="0"/>
              <w:right w:val="nil"/>
            </w:tcBorders>
            <w:noWrap/>
            <w:vAlign w:val="center"/>
          </w:tcPr>
          <w:p>
            <w:pPr>
              <w:widowControl/>
              <w:jc w:val="left"/>
              <w:rPr>
                <w:rFonts w:ascii="宋体" w:hAnsi="宋体" w:cs="宋体"/>
                <w:kern w:val="0"/>
                <w:sz w:val="24"/>
                <w:szCs w:val="24"/>
                <w:highlight w:val="none"/>
              </w:rPr>
            </w:pPr>
          </w:p>
        </w:tc>
        <w:tc>
          <w:tcPr>
            <w:tcW w:w="1041" w:type="dxa"/>
            <w:tcBorders>
              <w:top w:val="nil"/>
              <w:left w:val="nil"/>
              <w:bottom w:val="single" w:color="auto" w:sz="4" w:space="0"/>
              <w:right w:val="nil"/>
            </w:tcBorders>
            <w:noWrap/>
            <w:vAlign w:val="center"/>
          </w:tcPr>
          <w:p>
            <w:pPr>
              <w:widowControl/>
              <w:jc w:val="left"/>
              <w:rPr>
                <w:rFonts w:ascii="宋体" w:hAnsi="宋体" w:cs="宋体"/>
                <w:kern w:val="0"/>
                <w:sz w:val="24"/>
                <w:szCs w:val="24"/>
                <w:highlight w:val="none"/>
              </w:rPr>
            </w:pPr>
          </w:p>
        </w:tc>
        <w:tc>
          <w:tcPr>
            <w:tcW w:w="2843" w:type="dxa"/>
            <w:vMerge w:val="continue"/>
            <w:tcBorders>
              <w:left w:val="nil"/>
              <w:bottom w:val="single" w:color="auto" w:sz="4" w:space="0"/>
              <w:right w:val="single" w:color="auto" w:sz="4" w:space="0"/>
            </w:tcBorders>
            <w:noWrap/>
            <w:vAlign w:val="center"/>
          </w:tcPr>
          <w:p>
            <w:pPr>
              <w:widowControl/>
              <w:jc w:val="left"/>
              <w:rPr>
                <w:rFonts w:ascii="宋体" w:hAnsi="宋体" w:cs="宋体"/>
                <w:kern w:val="0"/>
                <w:sz w:val="24"/>
                <w:szCs w:val="24"/>
                <w:highlight w:val="none"/>
              </w:rPr>
            </w:pPr>
          </w:p>
        </w:tc>
      </w:tr>
    </w:tbl>
    <w:p>
      <w:pPr>
        <w:autoSpaceDE w:val="0"/>
        <w:autoSpaceDN w:val="0"/>
        <w:adjustRightInd w:val="0"/>
        <w:spacing w:line="400" w:lineRule="exact"/>
        <w:jc w:val="left"/>
        <w:rPr>
          <w:rFonts w:ascii="_x000B__x000C_" w:hAnsi="_x000B__x000C_"/>
          <w:kern w:val="0"/>
          <w:szCs w:val="21"/>
          <w:highlight w:val="none"/>
        </w:rPr>
      </w:pPr>
    </w:p>
    <w:p>
      <w:pPr>
        <w:spacing w:line="400" w:lineRule="exact"/>
        <w:ind w:firstLine="420" w:firstLineChars="200"/>
        <w:rPr>
          <w:rFonts w:ascii="Times New Roman" w:hAnsi="Times New Roman"/>
          <w:color w:val="000000"/>
          <w:highlight w:val="none"/>
        </w:rPr>
      </w:pPr>
    </w:p>
    <w:p>
      <w:pPr>
        <w:pStyle w:val="2"/>
        <w:jc w:val="center"/>
        <w:rPr>
          <w:color w:val="000000"/>
          <w:highlight w:val="none"/>
        </w:rPr>
      </w:pPr>
      <w:r>
        <w:rPr>
          <w:color w:val="000000"/>
          <w:highlight w:val="none"/>
        </w:rPr>
        <w:br w:type="page"/>
      </w:r>
      <w:bookmarkStart w:id="594" w:name="_Toc79054277"/>
      <w:bookmarkStart w:id="595" w:name="_Toc1261585924"/>
      <w:r>
        <w:rPr>
          <w:color w:val="000000"/>
          <w:highlight w:val="none"/>
        </w:rPr>
        <w:t>第三章评标办法（经评审的最低投标价法）</w:t>
      </w:r>
      <w:bookmarkEnd w:id="594"/>
      <w:bookmarkEnd w:id="595"/>
    </w:p>
    <w:p>
      <w:pPr>
        <w:pStyle w:val="3"/>
        <w:jc w:val="center"/>
        <w:rPr>
          <w:rFonts w:ascii="Times New Roman" w:hAnsi="Times New Roman"/>
          <w:color w:val="000000"/>
          <w:highlight w:val="none"/>
        </w:rPr>
      </w:pPr>
      <w:bookmarkStart w:id="596" w:name="_Toc678838032"/>
      <w:r>
        <w:rPr>
          <w:rFonts w:ascii="Times New Roman" w:hAnsi="Times New Roman"/>
          <w:color w:val="000000"/>
          <w:highlight w:val="none"/>
        </w:rPr>
        <w:t>评标办法前附表</w:t>
      </w:r>
      <w:bookmarkEnd w:id="596"/>
    </w:p>
    <w:tbl>
      <w:tblPr>
        <w:tblStyle w:val="29"/>
        <w:tblW w:w="11656"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
        <w:gridCol w:w="1124"/>
        <w:gridCol w:w="2229"/>
        <w:gridCol w:w="247"/>
        <w:gridCol w:w="4005"/>
        <w:gridCol w:w="315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trPr>
        <w:tc>
          <w:tcPr>
            <w:tcW w:w="2024" w:type="dxa"/>
            <w:gridSpan w:val="2"/>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b/>
                <w:color w:val="000000"/>
                <w:highlight w:val="none"/>
              </w:rPr>
            </w:pPr>
            <w:r>
              <w:rPr>
                <w:rFonts w:ascii="Times New Roman" w:hAnsi="Times New Roman"/>
                <w:b/>
                <w:color w:val="000000"/>
                <w:highlight w:val="none"/>
              </w:rPr>
              <w:t>条款号</w:t>
            </w:r>
          </w:p>
        </w:tc>
        <w:tc>
          <w:tcPr>
            <w:tcW w:w="2476"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b/>
                <w:color w:val="000000"/>
                <w:highlight w:val="none"/>
              </w:rPr>
            </w:pPr>
            <w:r>
              <w:rPr>
                <w:rFonts w:ascii="Times New Roman" w:hAnsi="Times New Roman"/>
                <w:b/>
                <w:color w:val="000000"/>
                <w:highlight w:val="none"/>
              </w:rPr>
              <w:t>评审因素</w:t>
            </w:r>
          </w:p>
        </w:tc>
        <w:tc>
          <w:tcPr>
            <w:tcW w:w="400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b/>
                <w:color w:val="000000"/>
                <w:highlight w:val="none"/>
              </w:rPr>
            </w:pPr>
            <w:r>
              <w:rPr>
                <w:rFonts w:ascii="Times New Roman" w:hAnsi="Times New Roman"/>
                <w:b/>
                <w:color w:val="000000"/>
                <w:highlight w:val="none"/>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trHeight w:val="506" w:hRule="atLeast"/>
        </w:trPr>
        <w:tc>
          <w:tcPr>
            <w:tcW w:w="90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1</w:t>
            </w:r>
          </w:p>
        </w:tc>
        <w:tc>
          <w:tcPr>
            <w:tcW w:w="112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评标方法</w:t>
            </w:r>
          </w:p>
        </w:tc>
        <w:tc>
          <w:tcPr>
            <w:tcW w:w="2476"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中标候选人排序方法</w:t>
            </w:r>
          </w:p>
        </w:tc>
        <w:tc>
          <w:tcPr>
            <w:tcW w:w="4005" w:type="dxa"/>
            <w:tcBorders>
              <w:top w:val="single" w:color="auto" w:sz="4" w:space="0"/>
              <w:left w:val="single" w:color="auto" w:sz="4" w:space="0"/>
              <w:bottom w:val="single" w:color="auto" w:sz="4" w:space="0"/>
              <w:right w:val="single" w:color="auto" w:sz="4" w:space="0"/>
            </w:tcBorders>
          </w:tcPr>
          <w:p>
            <w:pPr>
              <w:spacing w:line="440" w:lineRule="exact"/>
              <w:jc w:val="center"/>
              <w:rPr>
                <w:rFonts w:ascii="Times New Roman" w:hAnsi="Times New Roman"/>
                <w:color w:val="000000"/>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trHeight w:val="506" w:hRule="atLeast"/>
        </w:trPr>
        <w:tc>
          <w:tcPr>
            <w:tcW w:w="8505" w:type="dxa"/>
            <w:gridSpan w:val="5"/>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hint="eastAsia" w:ascii="仿宋_GB2312" w:hAnsi="仿宋_GB2312" w:eastAsia="仿宋_GB2312" w:cs="仿宋_GB2312"/>
                <w:b/>
                <w:szCs w:val="21"/>
                <w:highlight w:val="none"/>
              </w:rPr>
              <w:t>商务标初步评审标准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restart"/>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2.1.1</w:t>
            </w:r>
          </w:p>
        </w:tc>
        <w:tc>
          <w:tcPr>
            <w:tcW w:w="1124" w:type="dxa"/>
            <w:vMerge w:val="restart"/>
            <w:tcBorders>
              <w:top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形式评审标准</w:t>
            </w: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投标人名称</w:t>
            </w:r>
          </w:p>
        </w:tc>
        <w:tc>
          <w:tcPr>
            <w:tcW w:w="4252"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与营业执照</w:t>
            </w:r>
            <w:r>
              <w:rPr>
                <w:rFonts w:hint="eastAsia" w:ascii="Times New Roman" w:hAnsi="Times New Roman"/>
                <w:color w:val="000000"/>
                <w:highlight w:val="none"/>
              </w:rPr>
              <w:t>（</w:t>
            </w:r>
            <w:r>
              <w:rPr>
                <w:rFonts w:ascii="Times New Roman" w:hAnsi="Times New Roman"/>
                <w:color w:val="000000"/>
                <w:highlight w:val="none"/>
              </w:rPr>
              <w:t>事业单位法人证书</w:t>
            </w:r>
            <w:r>
              <w:rPr>
                <w:rFonts w:hint="eastAsia" w:ascii="Times New Roman" w:hAnsi="Times New Roman"/>
                <w:color w:val="000000"/>
                <w:highlight w:val="none"/>
              </w:rPr>
              <w:t>）</w:t>
            </w:r>
            <w:r>
              <w:rPr>
                <w:rFonts w:ascii="Times New Roman" w:hAnsi="Times New Roman"/>
                <w:color w:val="000000"/>
                <w:highlight w:val="none"/>
              </w:rPr>
              <w:t>、资质证书一致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continue"/>
            <w:tcBorders>
              <w:top w:val="nil"/>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right w:val="single" w:color="auto" w:sz="4" w:space="0"/>
            </w:tcBorders>
            <w:vAlign w:val="center"/>
          </w:tcPr>
          <w:p>
            <w:pPr>
              <w:rPr>
                <w:rFonts w:ascii="Times New Roman" w:hAnsi="Times New Roman"/>
                <w:highlight w:val="none"/>
              </w:rPr>
            </w:pP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投标函签字盖章</w:t>
            </w:r>
          </w:p>
        </w:tc>
        <w:tc>
          <w:tcPr>
            <w:tcW w:w="4252"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有法定代表人（单位负责人）或其委托代理人签字或加盖单位章。由法定代表人（单位负责人）签字的，应附法定代表人（单位负责人）身份证明，由代理人签字的，应附授权委托书，身份证明或授权委托书应符合第六章“投标文件格式”的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continue"/>
            <w:tcBorders>
              <w:top w:val="nil"/>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right w:val="single" w:color="auto" w:sz="4" w:space="0"/>
            </w:tcBorders>
            <w:vAlign w:val="center"/>
          </w:tcPr>
          <w:p>
            <w:pPr>
              <w:rPr>
                <w:rFonts w:ascii="Times New Roman" w:hAnsi="Times New Roman"/>
                <w:highlight w:val="none"/>
              </w:rPr>
            </w:pP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联合体投标人</w:t>
            </w:r>
          </w:p>
        </w:tc>
        <w:tc>
          <w:tcPr>
            <w:tcW w:w="4252"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提交符合招标文件要求的联合体协议书，明确各方承担连带责任，并明确联合体牵头人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continue"/>
            <w:tcBorders>
              <w:top w:val="nil"/>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right w:val="single" w:color="auto" w:sz="4" w:space="0"/>
            </w:tcBorders>
            <w:vAlign w:val="center"/>
          </w:tcPr>
          <w:p>
            <w:pPr>
              <w:rPr>
                <w:rFonts w:ascii="Times New Roman" w:hAnsi="Times New Roman"/>
                <w:highlight w:val="none"/>
              </w:rPr>
            </w:pP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hint="eastAsia" w:ascii="Times New Roman" w:hAnsi="Times New Roman"/>
                <w:color w:val="000000"/>
                <w:highlight w:val="none"/>
              </w:rPr>
              <w:t>报价唯一性</w:t>
            </w:r>
          </w:p>
        </w:tc>
        <w:tc>
          <w:tcPr>
            <w:tcW w:w="4252"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hint="eastAsia" w:ascii="Times New Roman" w:hAnsi="Times New Roman"/>
                <w:color w:val="000000"/>
                <w:highlight w:val="none"/>
              </w:rPr>
              <w:t>同一投标人不得提交两个以上不同的投标文件或者投标报价，但招标文件要求提交备选投标方案的除外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continue"/>
            <w:tcBorders>
              <w:top w:val="nil"/>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right w:val="single" w:color="auto" w:sz="4" w:space="0"/>
            </w:tcBorders>
            <w:vAlign w:val="center"/>
          </w:tcPr>
          <w:p>
            <w:pPr>
              <w:rPr>
                <w:rFonts w:ascii="Times New Roman" w:hAnsi="Times New Roman"/>
                <w:highlight w:val="none"/>
              </w:rPr>
            </w:pP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Times New Roman" w:hAnsi="Times New Roman"/>
                <w:color w:val="000000"/>
                <w:highlight w:val="none"/>
              </w:rPr>
            </w:pPr>
            <w:r>
              <w:rPr>
                <w:rFonts w:hint="eastAsia" w:ascii="Times New Roman" w:hAnsi="Times New Roman"/>
                <w:highlight w:val="none"/>
              </w:rPr>
              <w:t>未出现异常情形</w:t>
            </w:r>
          </w:p>
        </w:tc>
        <w:tc>
          <w:tcPr>
            <w:tcW w:w="4252"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Times New Roman" w:hAnsi="Times New Roman"/>
                <w:color w:val="000000"/>
                <w:highlight w:val="none"/>
              </w:rPr>
            </w:pPr>
            <w:r>
              <w:rPr>
                <w:rFonts w:hint="eastAsia" w:ascii="Times New Roman" w:hAnsi="Times New Roman"/>
                <w:highlight w:val="none"/>
              </w:rPr>
              <w:t>未出现不同投标人文件制作机器码或文件创建标识码相同的情形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151" w:type="dxa"/>
          <w:cantSplit/>
          <w:trHeight w:val="267" w:hRule="atLeast"/>
        </w:trPr>
        <w:tc>
          <w:tcPr>
            <w:tcW w:w="900" w:type="dxa"/>
            <w:vMerge w:val="continue"/>
            <w:tcBorders>
              <w:top w:val="nil"/>
              <w:bottom w:val="single" w:color="auto" w:sz="4" w:space="0"/>
              <w:right w:val="single" w:color="auto" w:sz="4" w:space="0"/>
            </w:tcBorders>
          </w:tcPr>
          <w:p>
            <w:pPr>
              <w:rPr>
                <w:rFonts w:ascii="Times New Roman" w:hAnsi="Times New Roman"/>
                <w:highlight w:val="none"/>
              </w:rPr>
            </w:pPr>
          </w:p>
        </w:tc>
        <w:tc>
          <w:tcPr>
            <w:tcW w:w="1124" w:type="dxa"/>
            <w:vMerge w:val="continue"/>
            <w:tcBorders>
              <w:left w:val="single" w:color="auto" w:sz="4" w:space="0"/>
              <w:right w:val="single" w:color="auto" w:sz="4" w:space="0"/>
            </w:tcBorders>
          </w:tcPr>
          <w:p>
            <w:pPr>
              <w:rPr>
                <w:rFonts w:ascii="Times New Roman" w:hAnsi="Times New Roman"/>
                <w:highlight w:val="none"/>
              </w:rPr>
            </w:pPr>
          </w:p>
        </w:tc>
        <w:tc>
          <w:tcPr>
            <w:tcW w:w="2229" w:type="dxa"/>
            <w:tcBorders>
              <w:top w:val="single" w:color="auto" w:sz="4" w:space="0"/>
              <w:left w:val="single" w:color="auto" w:sz="4" w:space="0"/>
              <w:right w:val="single" w:color="auto" w:sz="4" w:space="0"/>
            </w:tcBorders>
          </w:tcPr>
          <w:p>
            <w:pPr>
              <w:spacing w:line="440" w:lineRule="exact"/>
              <w:jc w:val="center"/>
              <w:rPr>
                <w:rFonts w:ascii="Times New Roman" w:hAnsi="Times New Roman"/>
                <w:color w:val="000000"/>
                <w:highlight w:val="none"/>
              </w:rPr>
            </w:pPr>
            <w:r>
              <w:rPr>
                <w:rFonts w:ascii="Times New Roman" w:hAnsi="Times New Roman"/>
                <w:color w:val="000000"/>
                <w:highlight w:val="none"/>
              </w:rPr>
              <w:t>……</w:t>
            </w:r>
          </w:p>
        </w:tc>
        <w:tc>
          <w:tcPr>
            <w:tcW w:w="4252" w:type="dxa"/>
            <w:gridSpan w:val="2"/>
            <w:tcBorders>
              <w:lef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restart"/>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2.1.2</w:t>
            </w:r>
          </w:p>
        </w:tc>
        <w:tc>
          <w:tcPr>
            <w:tcW w:w="1124" w:type="dxa"/>
            <w:vMerge w:val="restar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资格评审标准</w:t>
            </w: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营业执照</w:t>
            </w:r>
            <w:r>
              <w:rPr>
                <w:rFonts w:hint="eastAsia" w:ascii="Times New Roman" w:hAnsi="Times New Roman"/>
                <w:color w:val="000000"/>
                <w:highlight w:val="none"/>
              </w:rPr>
              <w:t>（</w:t>
            </w:r>
            <w:r>
              <w:rPr>
                <w:rFonts w:ascii="Times New Roman" w:hAnsi="Times New Roman"/>
                <w:color w:val="000000"/>
                <w:highlight w:val="none"/>
              </w:rPr>
              <w:t>事业单位法人证书</w:t>
            </w:r>
            <w:r>
              <w:rPr>
                <w:rFonts w:hint="eastAsia" w:ascii="Times New Roman" w:hAnsi="Times New Roman"/>
                <w:color w:val="000000"/>
                <w:highlight w:val="none"/>
              </w:rPr>
              <w:t>）</w:t>
            </w:r>
            <w:r>
              <w:rPr>
                <w:rFonts w:ascii="Times New Roman" w:hAnsi="Times New Roman"/>
                <w:color w:val="000000"/>
                <w:highlight w:val="none"/>
              </w:rPr>
              <w:t>和组织机构代码证</w:t>
            </w:r>
          </w:p>
        </w:tc>
        <w:tc>
          <w:tcPr>
            <w:tcW w:w="4252"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符合第二章“投标人须知”第3.5.1项规定，具备有效的营业执照</w:t>
            </w:r>
            <w:r>
              <w:rPr>
                <w:rFonts w:hint="eastAsia" w:ascii="Times New Roman" w:hAnsi="Times New Roman"/>
                <w:color w:val="000000"/>
                <w:highlight w:val="none"/>
              </w:rPr>
              <w:t>（</w:t>
            </w:r>
            <w:r>
              <w:rPr>
                <w:rFonts w:ascii="Times New Roman" w:hAnsi="Times New Roman"/>
                <w:color w:val="000000"/>
                <w:highlight w:val="none"/>
              </w:rPr>
              <w:t>事业单位法人证书</w:t>
            </w:r>
            <w:r>
              <w:rPr>
                <w:rFonts w:hint="eastAsia" w:ascii="Times New Roman" w:hAnsi="Times New Roman"/>
                <w:color w:val="000000"/>
                <w:highlight w:val="none"/>
              </w:rPr>
              <w:t>）</w:t>
            </w:r>
            <w:r>
              <w:rPr>
                <w:rFonts w:ascii="Times New Roman" w:hAnsi="Times New Roman"/>
                <w:color w:val="000000"/>
                <w:highlight w:val="none"/>
              </w:rPr>
              <w:t>和组织机构代码证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资质要求</w:t>
            </w:r>
          </w:p>
        </w:tc>
        <w:tc>
          <w:tcPr>
            <w:tcW w:w="4252"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财务要求</w:t>
            </w:r>
          </w:p>
        </w:tc>
        <w:tc>
          <w:tcPr>
            <w:tcW w:w="4252"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业绩要求</w:t>
            </w:r>
          </w:p>
        </w:tc>
        <w:tc>
          <w:tcPr>
            <w:tcW w:w="4252" w:type="dxa"/>
            <w:gridSpan w:val="2"/>
            <w:tcBorders>
              <w:top w:val="single" w:color="auto" w:sz="4" w:space="0"/>
              <w:left w:val="single" w:color="auto" w:sz="4" w:space="0"/>
              <w:bottom w:val="single" w:color="auto" w:sz="4" w:space="0"/>
              <w:right w:val="single" w:color="auto" w:sz="4" w:space="0"/>
            </w:tcBorders>
          </w:tcPr>
          <w:p>
            <w:pPr>
              <w:rPr>
                <w:rFonts w:ascii="Times New Roman" w:hAnsi="Times New Roman"/>
                <w:color w:val="000000"/>
                <w:highlight w:val="none"/>
              </w:rPr>
            </w:pPr>
            <w:r>
              <w:rPr>
                <w:rFonts w:ascii="Times New Roman" w:hAnsi="Times New Roman"/>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Height w:val="325" w:hRule="atLeas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信誉要求</w:t>
            </w:r>
          </w:p>
        </w:tc>
        <w:tc>
          <w:tcPr>
            <w:tcW w:w="4252" w:type="dxa"/>
            <w:gridSpan w:val="2"/>
            <w:tcBorders>
              <w:top w:val="single" w:color="auto" w:sz="4" w:space="0"/>
              <w:left w:val="single" w:color="auto" w:sz="4" w:space="0"/>
              <w:bottom w:val="single" w:color="auto" w:sz="4" w:space="0"/>
              <w:right w:val="single" w:color="auto" w:sz="4" w:space="0"/>
            </w:tcBorders>
          </w:tcPr>
          <w:p>
            <w:pPr>
              <w:rPr>
                <w:rFonts w:ascii="Times New Roman" w:hAnsi="Times New Roman"/>
                <w:color w:val="000000"/>
                <w:highlight w:val="none"/>
              </w:rPr>
            </w:pPr>
            <w:r>
              <w:rPr>
                <w:rFonts w:ascii="Times New Roman" w:hAnsi="Times New Roman"/>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其他要求</w:t>
            </w:r>
          </w:p>
        </w:tc>
        <w:tc>
          <w:tcPr>
            <w:tcW w:w="4252"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联合体投标人</w:t>
            </w:r>
          </w:p>
        </w:tc>
        <w:tc>
          <w:tcPr>
            <w:tcW w:w="4252"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符合第二章“投标人须知”第1.4.2项规定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不存在禁止投标的情形</w:t>
            </w:r>
          </w:p>
        </w:tc>
        <w:tc>
          <w:tcPr>
            <w:tcW w:w="4252"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不存在第二章“投标人须知”第1.4.3项规定的任何一种情形</w:t>
            </w:r>
            <w:r>
              <w:rPr>
                <w:rFonts w:hint="eastAsia" w:ascii="Times New Roman" w:hAnsi="Times New Roman"/>
                <w:color w:val="000000"/>
                <w:highlight w:val="none"/>
              </w:rPr>
              <w:t>。投标人在投标函中承诺，不需要提供相关证明。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投标材料制造商的资质要求（如有）</w:t>
            </w:r>
          </w:p>
        </w:tc>
        <w:tc>
          <w:tcPr>
            <w:tcW w:w="4252"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投标材料的业绩要求（如有）</w:t>
            </w:r>
          </w:p>
        </w:tc>
        <w:tc>
          <w:tcPr>
            <w:tcW w:w="4252"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w:t>
            </w:r>
          </w:p>
        </w:tc>
        <w:tc>
          <w:tcPr>
            <w:tcW w:w="4252"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restart"/>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2.1.3</w:t>
            </w:r>
          </w:p>
        </w:tc>
        <w:tc>
          <w:tcPr>
            <w:tcW w:w="1124" w:type="dxa"/>
            <w:vMerge w:val="restar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响应性评审标准</w:t>
            </w: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投标报价</w:t>
            </w:r>
          </w:p>
        </w:tc>
        <w:tc>
          <w:tcPr>
            <w:tcW w:w="4252" w:type="dxa"/>
            <w:gridSpan w:val="2"/>
            <w:tcBorders>
              <w:top w:val="single" w:color="auto" w:sz="4" w:space="0"/>
              <w:left w:val="single" w:color="auto" w:sz="4" w:space="0"/>
              <w:bottom w:val="single" w:color="auto" w:sz="4" w:space="0"/>
            </w:tcBorders>
            <w:vAlign w:val="center"/>
          </w:tcPr>
          <w:p>
            <w:pPr>
              <w:spacing w:line="440" w:lineRule="exact"/>
              <w:rPr>
                <w:rFonts w:ascii="Times New Roman" w:hAnsi="Times New Roman"/>
                <w:color w:val="000000"/>
                <w:highlight w:val="none"/>
              </w:rPr>
            </w:pPr>
            <w:r>
              <w:rPr>
                <w:rFonts w:ascii="Times New Roman" w:hAnsi="Times New Roman"/>
                <w:color w:val="000000"/>
                <w:highlight w:val="none"/>
              </w:rPr>
              <w:t>符合第二章“投标人须知”第3.2款规定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continue"/>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投标内容</w:t>
            </w:r>
          </w:p>
        </w:tc>
        <w:tc>
          <w:tcPr>
            <w:tcW w:w="4252" w:type="dxa"/>
            <w:gridSpan w:val="2"/>
            <w:tcBorders>
              <w:top w:val="single" w:color="auto" w:sz="4" w:space="0"/>
              <w:left w:val="single" w:color="auto" w:sz="4" w:space="0"/>
              <w:bottom w:val="single" w:color="auto" w:sz="4" w:space="0"/>
            </w:tcBorders>
            <w:vAlign w:val="center"/>
          </w:tcPr>
          <w:p>
            <w:pPr>
              <w:spacing w:line="440" w:lineRule="exact"/>
              <w:jc w:val="left"/>
              <w:rPr>
                <w:rFonts w:ascii="Times New Roman" w:hAnsi="Times New Roman"/>
                <w:color w:val="000000"/>
                <w:highlight w:val="none"/>
              </w:rPr>
            </w:pPr>
            <w:r>
              <w:rPr>
                <w:rFonts w:ascii="Times New Roman" w:hAnsi="Times New Roman"/>
                <w:color w:val="000000"/>
                <w:highlight w:val="none"/>
              </w:rPr>
              <w:t>符合第二章“投标人须知”第1.3.1项规定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continue"/>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color w:val="000000"/>
                <w:highlight w:val="none"/>
              </w:rPr>
              <w:t>交货期</w:t>
            </w:r>
          </w:p>
        </w:tc>
        <w:tc>
          <w:tcPr>
            <w:tcW w:w="4252" w:type="dxa"/>
            <w:gridSpan w:val="2"/>
            <w:tcBorders>
              <w:top w:val="single" w:color="auto" w:sz="4" w:space="0"/>
              <w:left w:val="single" w:color="auto" w:sz="4" w:space="0"/>
              <w:bottom w:val="single" w:color="auto" w:sz="4" w:space="0"/>
            </w:tcBorders>
            <w:vAlign w:val="center"/>
          </w:tcPr>
          <w:p>
            <w:pPr>
              <w:spacing w:line="440" w:lineRule="exact"/>
              <w:jc w:val="left"/>
              <w:rPr>
                <w:rFonts w:ascii="Times New Roman" w:hAnsi="Times New Roman"/>
                <w:color w:val="000000"/>
                <w:highlight w:val="none"/>
              </w:rPr>
            </w:pPr>
            <w:r>
              <w:rPr>
                <w:rFonts w:ascii="Times New Roman" w:hAnsi="Times New Roman"/>
                <w:color w:val="000000"/>
                <w:highlight w:val="none"/>
              </w:rPr>
              <w:t>符合第二章“投标人须知”第1.3.2项规定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continue"/>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hint="eastAsia" w:ascii="Times New Roman" w:hAnsi="Times New Roman"/>
                <w:color w:val="000000"/>
                <w:highlight w:val="none"/>
              </w:rPr>
              <w:t>交货地点</w:t>
            </w:r>
          </w:p>
        </w:tc>
        <w:tc>
          <w:tcPr>
            <w:tcW w:w="4252" w:type="dxa"/>
            <w:gridSpan w:val="2"/>
            <w:tcBorders>
              <w:top w:val="single" w:color="auto" w:sz="4" w:space="0"/>
              <w:left w:val="single" w:color="auto" w:sz="4" w:space="0"/>
              <w:bottom w:val="single" w:color="auto" w:sz="4" w:space="0"/>
            </w:tcBorders>
            <w:vAlign w:val="center"/>
          </w:tcPr>
          <w:p>
            <w:pPr>
              <w:spacing w:line="440" w:lineRule="exact"/>
              <w:jc w:val="left"/>
              <w:rPr>
                <w:rFonts w:ascii="Times New Roman" w:hAnsi="Times New Roman"/>
                <w:color w:val="000000"/>
                <w:highlight w:val="none"/>
              </w:rPr>
            </w:pPr>
            <w:r>
              <w:rPr>
                <w:rFonts w:ascii="Times New Roman" w:hAnsi="Times New Roman"/>
                <w:color w:val="000000"/>
                <w:highlight w:val="none"/>
              </w:rPr>
              <w:t>符合第二章“投标人须知”第1.3.</w:t>
            </w:r>
            <w:r>
              <w:rPr>
                <w:rFonts w:hint="eastAsia" w:ascii="Times New Roman" w:hAnsi="Times New Roman"/>
                <w:color w:val="000000"/>
                <w:highlight w:val="none"/>
              </w:rPr>
              <w:t>3</w:t>
            </w:r>
            <w:r>
              <w:rPr>
                <w:rFonts w:ascii="Times New Roman" w:hAnsi="Times New Roman"/>
                <w:color w:val="000000"/>
                <w:highlight w:val="none"/>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continue"/>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hint="eastAsia" w:ascii="Times New Roman" w:hAnsi="Times New Roman"/>
                <w:color w:val="000000"/>
                <w:highlight w:val="none"/>
              </w:rPr>
              <w:t>质量要求</w:t>
            </w:r>
          </w:p>
        </w:tc>
        <w:tc>
          <w:tcPr>
            <w:tcW w:w="4252" w:type="dxa"/>
            <w:gridSpan w:val="2"/>
            <w:tcBorders>
              <w:top w:val="single" w:color="auto" w:sz="4" w:space="0"/>
              <w:left w:val="single" w:color="auto" w:sz="4" w:space="0"/>
              <w:bottom w:val="single" w:color="auto" w:sz="4" w:space="0"/>
            </w:tcBorders>
            <w:vAlign w:val="center"/>
          </w:tcPr>
          <w:p>
            <w:pPr>
              <w:spacing w:line="440" w:lineRule="exact"/>
              <w:jc w:val="left"/>
              <w:rPr>
                <w:rFonts w:ascii="Times New Roman" w:hAnsi="Times New Roman"/>
                <w:color w:val="000000"/>
                <w:highlight w:val="none"/>
              </w:rPr>
            </w:pPr>
            <w:r>
              <w:rPr>
                <w:rFonts w:ascii="Times New Roman" w:hAnsi="Times New Roman"/>
                <w:color w:val="000000"/>
                <w:highlight w:val="none"/>
              </w:rPr>
              <w:t>符合第二章“投标人须知”第1.3.</w:t>
            </w:r>
            <w:r>
              <w:rPr>
                <w:rFonts w:hint="eastAsia" w:ascii="Times New Roman" w:hAnsi="Times New Roman"/>
                <w:color w:val="000000"/>
                <w:highlight w:val="none"/>
              </w:rPr>
              <w:t>4</w:t>
            </w:r>
            <w:r>
              <w:rPr>
                <w:rFonts w:ascii="Times New Roman" w:hAnsi="Times New Roman"/>
                <w:color w:val="000000"/>
                <w:highlight w:val="none"/>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2229" w:type="dxa"/>
            <w:tcBorders>
              <w:top w:val="single" w:color="auto" w:sz="4" w:space="0"/>
              <w:left w:val="single" w:color="auto" w:sz="4" w:space="0"/>
              <w:bottom w:val="single" w:color="auto" w:sz="4" w:space="0"/>
              <w:right w:val="single" w:color="auto" w:sz="4" w:space="0"/>
            </w:tcBorders>
          </w:tcPr>
          <w:p>
            <w:pPr>
              <w:spacing w:line="440" w:lineRule="exact"/>
              <w:jc w:val="center"/>
              <w:rPr>
                <w:rFonts w:ascii="Times New Roman" w:hAnsi="Times New Roman"/>
                <w:color w:val="000000"/>
                <w:highlight w:val="none"/>
              </w:rPr>
            </w:pPr>
            <w:r>
              <w:rPr>
                <w:rFonts w:ascii="Times New Roman" w:hAnsi="Times New Roman"/>
                <w:color w:val="000000"/>
                <w:highlight w:val="none"/>
              </w:rPr>
              <w:t>投标</w:t>
            </w:r>
            <w:r>
              <w:rPr>
                <w:rFonts w:ascii="Times New Roman" w:hAnsi="Times New Roman"/>
                <w:highlight w:val="none"/>
              </w:rPr>
              <w:t>有效期</w:t>
            </w:r>
          </w:p>
        </w:tc>
        <w:tc>
          <w:tcPr>
            <w:tcW w:w="4252" w:type="dxa"/>
            <w:gridSpan w:val="2"/>
            <w:tcBorders>
              <w:top w:val="single" w:color="auto" w:sz="4" w:space="0"/>
              <w:left w:val="single" w:color="auto" w:sz="4" w:space="0"/>
              <w:bottom w:val="single" w:color="auto" w:sz="4" w:space="0"/>
            </w:tcBorders>
          </w:tcPr>
          <w:p>
            <w:pPr>
              <w:spacing w:line="440" w:lineRule="exact"/>
              <w:rPr>
                <w:rFonts w:ascii="Times New Roman" w:hAnsi="Times New Roman"/>
                <w:highlight w:val="none"/>
              </w:rPr>
            </w:pPr>
            <w:r>
              <w:rPr>
                <w:rFonts w:ascii="Times New Roman" w:hAnsi="Times New Roman"/>
                <w:color w:val="000000"/>
                <w:highlight w:val="none"/>
              </w:rPr>
              <w:t>符合第二章“投标人须知”第3.</w:t>
            </w:r>
            <w:r>
              <w:rPr>
                <w:rFonts w:ascii="Times New Roman" w:hAnsi="Times New Roman"/>
                <w:highlight w:val="none"/>
              </w:rPr>
              <w:t>3.1项规定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2229" w:type="dxa"/>
            <w:tcBorders>
              <w:top w:val="single" w:color="auto" w:sz="4" w:space="0"/>
              <w:left w:val="single" w:color="auto" w:sz="4" w:space="0"/>
              <w:bottom w:val="single" w:color="auto" w:sz="4" w:space="0"/>
              <w:right w:val="single" w:color="auto" w:sz="4" w:space="0"/>
            </w:tcBorders>
          </w:tcPr>
          <w:p>
            <w:pPr>
              <w:spacing w:line="440" w:lineRule="exact"/>
              <w:jc w:val="center"/>
              <w:rPr>
                <w:rFonts w:ascii="Times New Roman" w:hAnsi="Times New Roman"/>
                <w:highlight w:val="none"/>
              </w:rPr>
            </w:pPr>
            <w:r>
              <w:rPr>
                <w:rFonts w:ascii="Times New Roman" w:hAnsi="Times New Roman"/>
                <w:highlight w:val="none"/>
              </w:rPr>
              <w:t>投标保证金</w:t>
            </w:r>
          </w:p>
        </w:tc>
        <w:tc>
          <w:tcPr>
            <w:tcW w:w="4252" w:type="dxa"/>
            <w:gridSpan w:val="2"/>
            <w:tcBorders>
              <w:top w:val="single" w:color="auto" w:sz="4" w:space="0"/>
              <w:left w:val="single" w:color="auto" w:sz="4" w:space="0"/>
              <w:bottom w:val="single" w:color="auto" w:sz="4" w:space="0"/>
            </w:tcBorders>
          </w:tcPr>
          <w:p>
            <w:pPr>
              <w:spacing w:line="440" w:lineRule="exact"/>
              <w:rPr>
                <w:rFonts w:ascii="Times New Roman" w:hAnsi="Times New Roman"/>
                <w:highlight w:val="none"/>
              </w:rPr>
            </w:pPr>
            <w:r>
              <w:rPr>
                <w:rFonts w:ascii="Times New Roman" w:hAnsi="Times New Roman"/>
                <w:highlight w:val="none"/>
              </w:rPr>
              <w:t>符合第二章“投标人须知”第3.4</w:t>
            </w:r>
            <w:r>
              <w:rPr>
                <w:rFonts w:hint="eastAsia" w:ascii="Times New Roman" w:hAnsi="Times New Roman"/>
                <w:highlight w:val="none"/>
              </w:rPr>
              <w:t>.1项</w:t>
            </w:r>
            <w:r>
              <w:rPr>
                <w:rFonts w:ascii="Times New Roman" w:hAnsi="Times New Roman"/>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2229" w:type="dxa"/>
            <w:tcBorders>
              <w:top w:val="single" w:color="auto" w:sz="4" w:space="0"/>
              <w:left w:val="single" w:color="auto" w:sz="4" w:space="0"/>
              <w:bottom w:val="single" w:color="auto" w:sz="4" w:space="0"/>
              <w:right w:val="single" w:color="auto" w:sz="4" w:space="0"/>
            </w:tcBorders>
          </w:tcPr>
          <w:p>
            <w:pPr>
              <w:spacing w:line="440" w:lineRule="exact"/>
              <w:jc w:val="center"/>
              <w:rPr>
                <w:rFonts w:ascii="Times New Roman" w:hAnsi="Times New Roman"/>
                <w:highlight w:val="none"/>
              </w:rPr>
            </w:pPr>
            <w:r>
              <w:rPr>
                <w:rFonts w:ascii="Times New Roman" w:hAnsi="Times New Roman"/>
                <w:highlight w:val="none"/>
              </w:rPr>
              <w:t>权利义务</w:t>
            </w:r>
          </w:p>
        </w:tc>
        <w:tc>
          <w:tcPr>
            <w:tcW w:w="4252" w:type="dxa"/>
            <w:gridSpan w:val="2"/>
            <w:tcBorders>
              <w:top w:val="single" w:color="auto" w:sz="4" w:space="0"/>
              <w:left w:val="single" w:color="auto" w:sz="4" w:space="0"/>
              <w:bottom w:val="single" w:color="auto" w:sz="4" w:space="0"/>
            </w:tcBorders>
          </w:tcPr>
          <w:p>
            <w:pPr>
              <w:spacing w:line="440" w:lineRule="exact"/>
              <w:rPr>
                <w:rFonts w:ascii="Times New Roman" w:hAnsi="Times New Roman"/>
                <w:highlight w:val="none"/>
              </w:rPr>
            </w:pPr>
            <w:r>
              <w:rPr>
                <w:rFonts w:ascii="Times New Roman" w:hAnsi="Times New Roman"/>
                <w:highlight w:val="none"/>
              </w:rPr>
              <w:t>符合第二章“投标人须知”</w:t>
            </w:r>
            <w:r>
              <w:rPr>
                <w:rFonts w:hint="eastAsia" w:ascii="Times New Roman" w:hAnsi="Times New Roman"/>
                <w:highlight w:val="none"/>
              </w:rPr>
              <w:t>第1.11.1项规定和</w:t>
            </w:r>
            <w:r>
              <w:rPr>
                <w:rFonts w:ascii="Times New Roman" w:hAnsi="Times New Roman"/>
                <w:highlight w:val="none"/>
              </w:rPr>
              <w:t>第四章“合同条款及格式”中</w:t>
            </w:r>
            <w:r>
              <w:rPr>
                <w:rFonts w:hint="eastAsia" w:ascii="Times New Roman" w:hAnsi="Times New Roman"/>
                <w:highlight w:val="none"/>
              </w:rPr>
              <w:t>的</w:t>
            </w:r>
            <w:r>
              <w:rPr>
                <w:rFonts w:ascii="Times New Roman" w:hAnsi="Times New Roman"/>
                <w:color w:val="000000"/>
                <w:highlight w:val="none"/>
              </w:rPr>
              <w:t>实质性要求和条件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Height w:val="466" w:hRule="atLeas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ascii="Times New Roman" w:hAnsi="Times New Roman"/>
                <w:highlight w:val="none"/>
              </w:rPr>
              <w:t>……</w:t>
            </w:r>
          </w:p>
        </w:tc>
        <w:tc>
          <w:tcPr>
            <w:tcW w:w="4252" w:type="dxa"/>
            <w:gridSpan w:val="2"/>
            <w:tcBorders>
              <w:top w:val="single" w:color="auto" w:sz="4" w:space="0"/>
              <w:left w:val="single" w:color="auto" w:sz="4" w:space="0"/>
              <w:bottom w:val="single" w:color="auto" w:sz="4" w:space="0"/>
            </w:tcBorders>
            <w:vAlign w:val="center"/>
          </w:tcPr>
          <w:p>
            <w:pPr>
              <w:spacing w:line="440" w:lineRule="exact"/>
              <w:jc w:val="center"/>
              <w:rPr>
                <w:rFonts w:ascii="Times New Roman" w:hAnsi="Times New Roman"/>
                <w:highlight w:val="none"/>
              </w:rPr>
            </w:pPr>
            <w:r>
              <w:rPr>
                <w:rFonts w:ascii="Times New Roman" w:hAnsi="Times New Roman"/>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Height w:val="466" w:hRule="atLeast"/>
        </w:trPr>
        <w:tc>
          <w:tcPr>
            <w:tcW w:w="8505" w:type="dxa"/>
            <w:gridSpan w:val="5"/>
            <w:tcBorders>
              <w:top w:val="single" w:color="auto" w:sz="4" w:space="0"/>
              <w:bottom w:val="single" w:color="auto" w:sz="4" w:space="0"/>
            </w:tcBorders>
            <w:vAlign w:val="center"/>
          </w:tcPr>
          <w:p>
            <w:pPr>
              <w:spacing w:line="440" w:lineRule="exact"/>
              <w:jc w:val="center"/>
              <w:rPr>
                <w:rFonts w:ascii="Times New Roman" w:hAnsi="Times New Roman"/>
                <w:highlight w:val="none"/>
              </w:rPr>
            </w:pPr>
            <w:r>
              <w:rPr>
                <w:rFonts w:hint="eastAsia" w:ascii="仿宋_GB2312" w:hAnsi="仿宋_GB2312" w:eastAsia="仿宋_GB2312" w:cs="仿宋_GB2312"/>
                <w:b/>
                <w:bCs/>
                <w:kern w:val="0"/>
                <w:szCs w:val="21"/>
                <w:highlight w:val="none"/>
              </w:rPr>
              <w:t>技术标初步评审标准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Height w:val="466" w:hRule="atLeast"/>
        </w:trPr>
        <w:tc>
          <w:tcPr>
            <w:tcW w:w="900" w:type="dxa"/>
            <w:vMerge w:val="restart"/>
            <w:tcBorders>
              <w:top w:val="single" w:color="auto" w:sz="4" w:space="0"/>
              <w:right w:val="single" w:color="auto" w:sz="4" w:space="0"/>
            </w:tcBorders>
            <w:vAlign w:val="center"/>
          </w:tcPr>
          <w:p>
            <w:pPr>
              <w:rPr>
                <w:rFonts w:ascii="Times New Roman" w:hAnsi="Times New Roman"/>
                <w:highlight w:val="none"/>
              </w:rPr>
            </w:pPr>
            <w:r>
              <w:rPr>
                <w:rFonts w:hint="eastAsia" w:ascii="Times New Roman" w:hAnsi="Times New Roman"/>
                <w:highlight w:val="none"/>
              </w:rPr>
              <w:t>2.1.1</w:t>
            </w:r>
          </w:p>
        </w:tc>
        <w:tc>
          <w:tcPr>
            <w:tcW w:w="1124" w:type="dxa"/>
            <w:vMerge w:val="restart"/>
            <w:tcBorders>
              <w:top w:val="single" w:color="auto" w:sz="4" w:space="0"/>
              <w:left w:val="single" w:color="auto" w:sz="4" w:space="0"/>
              <w:right w:val="single" w:color="auto" w:sz="4" w:space="0"/>
            </w:tcBorders>
            <w:vAlign w:val="center"/>
          </w:tcPr>
          <w:p>
            <w:pPr>
              <w:rPr>
                <w:rFonts w:ascii="Times New Roman" w:hAnsi="Times New Roman"/>
                <w:highlight w:val="none"/>
              </w:rPr>
            </w:pPr>
            <w:r>
              <w:rPr>
                <w:rFonts w:hint="eastAsia" w:ascii="Times New Roman" w:hAnsi="Times New Roman"/>
                <w:highlight w:val="none"/>
              </w:rPr>
              <w:t>形式评审标准</w:t>
            </w: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highlight w:val="none"/>
              </w:rPr>
            </w:pPr>
            <w:r>
              <w:rPr>
                <w:rFonts w:hint="eastAsia" w:ascii="Times New Roman" w:hAnsi="Times New Roman"/>
                <w:highlight w:val="none"/>
              </w:rPr>
              <w:t>投标文件格式</w:t>
            </w:r>
          </w:p>
        </w:tc>
        <w:tc>
          <w:tcPr>
            <w:tcW w:w="4252" w:type="dxa"/>
            <w:gridSpan w:val="2"/>
            <w:tcBorders>
              <w:top w:val="single" w:color="auto" w:sz="4" w:space="0"/>
              <w:left w:val="single" w:color="auto" w:sz="4" w:space="0"/>
              <w:bottom w:val="single" w:color="auto" w:sz="4" w:space="0"/>
            </w:tcBorders>
            <w:vAlign w:val="center"/>
          </w:tcPr>
          <w:p>
            <w:pPr>
              <w:spacing w:line="440" w:lineRule="exact"/>
              <w:jc w:val="both"/>
              <w:rPr>
                <w:rFonts w:ascii="Times New Roman" w:hAnsi="Times New Roman"/>
                <w:highlight w:val="none"/>
              </w:rPr>
            </w:pPr>
            <w:r>
              <w:rPr>
                <w:rFonts w:hint="eastAsia" w:ascii="Times New Roman" w:hAnsi="Times New Roman"/>
                <w:highlight w:val="none"/>
              </w:rPr>
              <w:t>符合第六章“投标文件格式”的规定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Height w:val="466" w:hRule="atLeast"/>
        </w:trPr>
        <w:tc>
          <w:tcPr>
            <w:tcW w:w="900" w:type="dxa"/>
            <w:vMerge w:val="continue"/>
            <w:tcBorders>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highlight w:val="none"/>
              </w:rPr>
            </w:pPr>
            <w:r>
              <w:rPr>
                <w:rFonts w:hint="eastAsia" w:ascii="Times New Roman" w:hAnsi="Times New Roman"/>
                <w:highlight w:val="none"/>
              </w:rPr>
              <w:t>未出现异常情形</w:t>
            </w:r>
          </w:p>
        </w:tc>
        <w:tc>
          <w:tcPr>
            <w:tcW w:w="4252" w:type="dxa"/>
            <w:gridSpan w:val="2"/>
            <w:tcBorders>
              <w:top w:val="single" w:color="auto" w:sz="4" w:space="0"/>
              <w:left w:val="single" w:color="auto" w:sz="4" w:space="0"/>
              <w:bottom w:val="single" w:color="auto" w:sz="4" w:space="0"/>
            </w:tcBorders>
            <w:vAlign w:val="center"/>
          </w:tcPr>
          <w:p>
            <w:pPr>
              <w:spacing w:line="440" w:lineRule="exact"/>
              <w:jc w:val="both"/>
              <w:rPr>
                <w:rFonts w:ascii="Times New Roman" w:hAnsi="Times New Roman"/>
                <w:highlight w:val="none"/>
              </w:rPr>
            </w:pPr>
            <w:r>
              <w:rPr>
                <w:rFonts w:hint="eastAsia" w:ascii="Times New Roman" w:hAnsi="Times New Roman"/>
                <w:highlight w:val="none"/>
              </w:rPr>
              <w:t>未出现不同投标人文件制作机器码或文件创建标识码相同的情形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Height w:val="466" w:hRule="atLeast"/>
        </w:trPr>
        <w:tc>
          <w:tcPr>
            <w:tcW w:w="900" w:type="dxa"/>
            <w:vMerge w:val="restart"/>
            <w:tcBorders>
              <w:top w:val="single" w:color="auto" w:sz="4" w:space="0"/>
              <w:right w:val="single" w:color="auto" w:sz="4" w:space="0"/>
            </w:tcBorders>
            <w:vAlign w:val="center"/>
          </w:tcPr>
          <w:p>
            <w:pPr>
              <w:rPr>
                <w:rFonts w:ascii="Times New Roman" w:hAnsi="Times New Roman"/>
                <w:highlight w:val="none"/>
              </w:rPr>
            </w:pPr>
            <w:r>
              <w:rPr>
                <w:rFonts w:hint="eastAsia" w:ascii="Times New Roman" w:hAnsi="Times New Roman"/>
                <w:highlight w:val="none"/>
              </w:rPr>
              <w:t>2.1.3</w:t>
            </w:r>
          </w:p>
        </w:tc>
        <w:tc>
          <w:tcPr>
            <w:tcW w:w="1124" w:type="dxa"/>
            <w:vMerge w:val="restart"/>
            <w:tcBorders>
              <w:top w:val="single" w:color="auto" w:sz="4" w:space="0"/>
              <w:left w:val="single" w:color="auto" w:sz="4" w:space="0"/>
              <w:right w:val="single" w:color="auto" w:sz="4" w:space="0"/>
            </w:tcBorders>
            <w:vAlign w:val="center"/>
          </w:tcPr>
          <w:p>
            <w:pPr>
              <w:rPr>
                <w:rFonts w:ascii="Times New Roman" w:hAnsi="Times New Roman"/>
                <w:highlight w:val="none"/>
              </w:rPr>
            </w:pPr>
            <w:r>
              <w:rPr>
                <w:rFonts w:hint="eastAsia" w:ascii="Times New Roman" w:hAnsi="Times New Roman"/>
                <w:highlight w:val="none"/>
              </w:rPr>
              <w:t>响应性评审标准</w:t>
            </w: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highlight w:val="none"/>
              </w:rPr>
            </w:pPr>
            <w:r>
              <w:rPr>
                <w:rFonts w:ascii="Times New Roman" w:hAnsi="Times New Roman"/>
                <w:highlight w:val="none"/>
              </w:rPr>
              <w:t>投标材料及相关服务</w:t>
            </w:r>
          </w:p>
        </w:tc>
        <w:tc>
          <w:tcPr>
            <w:tcW w:w="4252" w:type="dxa"/>
            <w:gridSpan w:val="2"/>
            <w:tcBorders>
              <w:top w:val="single" w:color="auto" w:sz="4" w:space="0"/>
              <w:left w:val="single" w:color="auto" w:sz="4" w:space="0"/>
              <w:bottom w:val="single" w:color="auto" w:sz="4" w:space="0"/>
            </w:tcBorders>
            <w:vAlign w:val="center"/>
          </w:tcPr>
          <w:p>
            <w:pPr>
              <w:spacing w:line="440" w:lineRule="exact"/>
              <w:jc w:val="both"/>
              <w:rPr>
                <w:rFonts w:ascii="Times New Roman" w:hAnsi="Times New Roman"/>
                <w:highlight w:val="none"/>
              </w:rPr>
            </w:pPr>
            <w:r>
              <w:rPr>
                <w:rFonts w:ascii="Times New Roman" w:hAnsi="Times New Roman"/>
                <w:highlight w:val="none"/>
              </w:rPr>
              <w:t>符合第五章“供货要求”中的实质性要求和条件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Height w:val="466" w:hRule="atLeast"/>
        </w:trPr>
        <w:tc>
          <w:tcPr>
            <w:tcW w:w="900" w:type="dxa"/>
            <w:vMerge w:val="continue"/>
            <w:tcBorders>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highlight w:val="none"/>
              </w:rPr>
            </w:pPr>
            <w:r>
              <w:rPr>
                <w:rFonts w:ascii="Times New Roman" w:hAnsi="Times New Roman"/>
                <w:highlight w:val="none"/>
              </w:rPr>
              <w:t>技术支持资料</w:t>
            </w:r>
          </w:p>
        </w:tc>
        <w:tc>
          <w:tcPr>
            <w:tcW w:w="4252" w:type="dxa"/>
            <w:gridSpan w:val="2"/>
            <w:tcBorders>
              <w:top w:val="single" w:color="auto" w:sz="4" w:space="0"/>
              <w:left w:val="single" w:color="auto" w:sz="4" w:space="0"/>
              <w:bottom w:val="single" w:color="auto" w:sz="4" w:space="0"/>
            </w:tcBorders>
            <w:vAlign w:val="center"/>
          </w:tcPr>
          <w:p>
            <w:pPr>
              <w:spacing w:line="440" w:lineRule="exact"/>
              <w:jc w:val="both"/>
              <w:rPr>
                <w:rFonts w:ascii="Times New Roman" w:hAnsi="Times New Roman"/>
                <w:highlight w:val="none"/>
              </w:rPr>
            </w:pPr>
            <w:r>
              <w:rPr>
                <w:rFonts w:ascii="Times New Roman" w:hAnsi="Times New Roman"/>
                <w:highlight w:val="none"/>
              </w:rPr>
              <w:t>符合第二章“投标人须知”第1.11.3项规定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6" w:hRule="atLeast"/>
        </w:trPr>
        <w:tc>
          <w:tcPr>
            <w:tcW w:w="2024" w:type="dxa"/>
            <w:gridSpan w:val="2"/>
            <w:tcBorders>
              <w:top w:val="single" w:color="auto" w:sz="4" w:space="0"/>
              <w:bottom w:val="single" w:color="auto" w:sz="4" w:space="0"/>
              <w:right w:val="single" w:color="auto" w:sz="4" w:space="0"/>
            </w:tcBorders>
            <w:vAlign w:val="center"/>
          </w:tcPr>
          <w:p>
            <w:pPr>
              <w:jc w:val="center"/>
              <w:rPr>
                <w:rFonts w:ascii="Times New Roman" w:hAnsi="Times New Roman"/>
                <w:highlight w:val="none"/>
              </w:rPr>
            </w:pPr>
            <w:r>
              <w:rPr>
                <w:rFonts w:ascii="Times New Roman" w:hAnsi="Times New Roman"/>
                <w:b/>
                <w:color w:val="000000"/>
                <w:highlight w:val="none"/>
              </w:rPr>
              <w:t>条款号</w:t>
            </w:r>
          </w:p>
        </w:tc>
        <w:tc>
          <w:tcPr>
            <w:tcW w:w="22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highlight w:val="none"/>
              </w:rPr>
            </w:pPr>
            <w:r>
              <w:rPr>
                <w:rFonts w:hint="eastAsia" w:ascii="Times New Roman" w:hAnsi="Times New Roman"/>
                <w:b/>
                <w:highlight w:val="none"/>
              </w:rPr>
              <w:t>价格调整因素</w:t>
            </w:r>
          </w:p>
        </w:tc>
        <w:tc>
          <w:tcPr>
            <w:tcW w:w="4252"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highlight w:val="none"/>
              </w:rPr>
            </w:pPr>
            <w:r>
              <w:rPr>
                <w:rFonts w:ascii="Times New Roman" w:hAnsi="Times New Roman"/>
                <w:b/>
                <w:highlight w:val="none"/>
              </w:rPr>
              <w:t>价格调整标准</w:t>
            </w:r>
          </w:p>
        </w:tc>
        <w:tc>
          <w:tcPr>
            <w:tcW w:w="3151" w:type="dxa"/>
            <w:tcBorders>
              <w:left w:val="single" w:color="auto" w:sz="4" w:space="0"/>
            </w:tcBorders>
            <w:vAlign w:val="center"/>
          </w:tcPr>
          <w:p>
            <w:pPr>
              <w:widowControl/>
              <w:jc w:val="left"/>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Height w:val="466" w:hRule="atLeast"/>
        </w:trPr>
        <w:tc>
          <w:tcPr>
            <w:tcW w:w="900" w:type="dxa"/>
            <w:vMerge w:val="restart"/>
            <w:tcBorders>
              <w:top w:val="single" w:color="auto" w:sz="4" w:space="0"/>
              <w:right w:val="single" w:color="auto" w:sz="4" w:space="0"/>
            </w:tcBorders>
            <w:vAlign w:val="center"/>
          </w:tcPr>
          <w:p>
            <w:pPr>
              <w:rPr>
                <w:rFonts w:ascii="Times New Roman" w:hAnsi="Times New Roman"/>
                <w:highlight w:val="none"/>
              </w:rPr>
            </w:pPr>
            <w:r>
              <w:rPr>
                <w:rFonts w:ascii="Times New Roman" w:hAnsi="Times New Roman"/>
                <w:color w:val="000000"/>
                <w:highlight w:val="none"/>
              </w:rPr>
              <w:t>2.2</w:t>
            </w:r>
          </w:p>
        </w:tc>
        <w:tc>
          <w:tcPr>
            <w:tcW w:w="1124"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highlight w:val="none"/>
              </w:rPr>
            </w:pPr>
            <w:r>
              <w:rPr>
                <w:rFonts w:ascii="Times New Roman" w:hAnsi="Times New Roman"/>
                <w:color w:val="000000"/>
                <w:highlight w:val="none"/>
              </w:rPr>
              <w:t>详细评审标准</w:t>
            </w:r>
          </w:p>
        </w:tc>
        <w:tc>
          <w:tcPr>
            <w:tcW w:w="2229" w:type="dxa"/>
            <w:tcBorders>
              <w:top w:val="single" w:color="auto" w:sz="4" w:space="0"/>
              <w:left w:val="single" w:color="auto" w:sz="4" w:space="0"/>
              <w:right w:val="single" w:color="auto" w:sz="4" w:space="0"/>
            </w:tcBorders>
            <w:vAlign w:val="center"/>
          </w:tcPr>
          <w:p>
            <w:pPr>
              <w:spacing w:line="440" w:lineRule="exact"/>
              <w:jc w:val="center"/>
              <w:rPr>
                <w:rFonts w:ascii="Times New Roman" w:hAnsi="Times New Roman"/>
                <w:highlight w:val="none"/>
              </w:rPr>
            </w:pPr>
            <w:r>
              <w:rPr>
                <w:rFonts w:ascii="Times New Roman" w:hAnsi="Times New Roman"/>
                <w:color w:val="000000"/>
                <w:highlight w:val="none"/>
              </w:rPr>
              <w:t>付款条件</w:t>
            </w:r>
          </w:p>
        </w:tc>
        <w:tc>
          <w:tcPr>
            <w:tcW w:w="4252" w:type="dxa"/>
            <w:gridSpan w:val="2"/>
            <w:tcBorders>
              <w:top w:val="single" w:color="auto" w:sz="4" w:space="0"/>
              <w:left w:val="single" w:color="auto" w:sz="4" w:space="0"/>
            </w:tcBorders>
            <w:vAlign w:val="center"/>
          </w:tcPr>
          <w:p>
            <w:pPr>
              <w:spacing w:line="440" w:lineRule="exact"/>
              <w:jc w:val="center"/>
              <w:rPr>
                <w:rFonts w:ascii="Times New Roman" w:hAnsi="Times New Roman"/>
                <w:highlight w:val="none"/>
              </w:rPr>
            </w:pPr>
            <w:r>
              <w:rPr>
                <w:rFonts w:ascii="Times New Roman" w:hAnsi="Times New Roman"/>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Height w:val="466" w:hRule="atLeast"/>
        </w:trPr>
        <w:tc>
          <w:tcPr>
            <w:tcW w:w="900" w:type="dxa"/>
            <w:vMerge w:val="continue"/>
            <w:tcBorders>
              <w:top w:val="single" w:color="auto" w:sz="4" w:space="0"/>
              <w:right w:val="single" w:color="auto" w:sz="4" w:space="0"/>
            </w:tcBorders>
            <w:vAlign w:val="center"/>
          </w:tcPr>
          <w:p>
            <w:pPr>
              <w:rPr>
                <w:rFonts w:ascii="Times New Roman" w:hAnsi="Times New Roman"/>
                <w:color w:val="000000"/>
                <w:highlight w:val="none"/>
              </w:rPr>
            </w:pPr>
          </w:p>
        </w:tc>
        <w:tc>
          <w:tcPr>
            <w:tcW w:w="1124" w:type="dxa"/>
            <w:vMerge w:val="continue"/>
            <w:tcBorders>
              <w:top w:val="single" w:color="auto" w:sz="4" w:space="0"/>
              <w:left w:val="single" w:color="auto" w:sz="4" w:space="0"/>
              <w:right w:val="single" w:color="auto" w:sz="4" w:space="0"/>
            </w:tcBorders>
            <w:vAlign w:val="center"/>
          </w:tcPr>
          <w:p>
            <w:pPr>
              <w:rPr>
                <w:rFonts w:ascii="Times New Roman" w:hAnsi="Times New Roman"/>
                <w:color w:val="000000"/>
                <w:highlight w:val="none"/>
              </w:rPr>
            </w:pPr>
          </w:p>
        </w:tc>
        <w:tc>
          <w:tcPr>
            <w:tcW w:w="2229" w:type="dxa"/>
            <w:tcBorders>
              <w:top w:val="single" w:color="auto" w:sz="4" w:space="0"/>
              <w:left w:val="single" w:color="auto" w:sz="4" w:space="0"/>
              <w:right w:val="single" w:color="auto" w:sz="4" w:space="0"/>
            </w:tcBorders>
            <w:vAlign w:val="center"/>
          </w:tcPr>
          <w:p>
            <w:pPr>
              <w:spacing w:line="440" w:lineRule="exact"/>
              <w:jc w:val="center"/>
              <w:rPr>
                <w:rFonts w:ascii="Times New Roman" w:hAnsi="Times New Roman"/>
                <w:color w:val="000000"/>
                <w:highlight w:val="none"/>
              </w:rPr>
            </w:pPr>
            <w:r>
              <w:rPr>
                <w:rFonts w:hint="eastAsia" w:ascii="Times New Roman" w:hAnsi="Times New Roman"/>
                <w:color w:val="000000"/>
                <w:highlight w:val="none"/>
              </w:rPr>
              <w:t>交货期</w:t>
            </w:r>
          </w:p>
        </w:tc>
        <w:tc>
          <w:tcPr>
            <w:tcW w:w="4252" w:type="dxa"/>
            <w:gridSpan w:val="2"/>
            <w:tcBorders>
              <w:top w:val="single" w:color="auto" w:sz="4" w:space="0"/>
              <w:left w:val="single" w:color="auto" w:sz="4" w:space="0"/>
            </w:tcBorders>
            <w:vAlign w:val="center"/>
          </w:tcPr>
          <w:p>
            <w:pPr>
              <w:spacing w:line="440" w:lineRule="exact"/>
              <w:jc w:val="center"/>
              <w:rPr>
                <w:rFonts w:ascii="Times New Roman" w:hAnsi="Times New Roman"/>
                <w:highlight w:val="none"/>
              </w:rPr>
            </w:pPr>
            <w:r>
              <w:rPr>
                <w:rFonts w:ascii="Times New Roman" w:hAnsi="Times New Roman"/>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51" w:type="dxa"/>
          <w:cantSplit/>
          <w:trHeight w:val="466" w:hRule="atLeast"/>
        </w:trPr>
        <w:tc>
          <w:tcPr>
            <w:tcW w:w="900" w:type="dxa"/>
            <w:vMerge w:val="continue"/>
            <w:tcBorders>
              <w:bottom w:val="single" w:color="auto" w:sz="4" w:space="0"/>
              <w:right w:val="single" w:color="auto" w:sz="4" w:space="0"/>
            </w:tcBorders>
            <w:vAlign w:val="center"/>
          </w:tcPr>
          <w:p>
            <w:pPr>
              <w:rPr>
                <w:rFonts w:ascii="Times New Roman" w:hAnsi="Times New Roman"/>
                <w:highlight w:val="none"/>
              </w:rPr>
            </w:pPr>
          </w:p>
        </w:tc>
        <w:tc>
          <w:tcPr>
            <w:tcW w:w="1124" w:type="dxa"/>
            <w:vMerge w:val="continue"/>
            <w:tcBorders>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2229" w:type="dxa"/>
            <w:tcBorders>
              <w:top w:val="single" w:color="auto" w:sz="4" w:space="0"/>
              <w:left w:val="single" w:color="auto" w:sz="4" w:space="0"/>
              <w:right w:val="single" w:color="auto" w:sz="4" w:space="0"/>
            </w:tcBorders>
            <w:vAlign w:val="center"/>
          </w:tcPr>
          <w:p>
            <w:pPr>
              <w:spacing w:line="440" w:lineRule="exact"/>
              <w:jc w:val="center"/>
              <w:rPr>
                <w:rFonts w:ascii="Times New Roman" w:hAnsi="Times New Roman"/>
                <w:highlight w:val="none"/>
              </w:rPr>
            </w:pPr>
            <w:r>
              <w:rPr>
                <w:rFonts w:ascii="Times New Roman" w:hAnsi="Times New Roman"/>
                <w:highlight w:val="none"/>
              </w:rPr>
              <w:t>……</w:t>
            </w:r>
          </w:p>
        </w:tc>
        <w:tc>
          <w:tcPr>
            <w:tcW w:w="4252" w:type="dxa"/>
            <w:gridSpan w:val="2"/>
            <w:tcBorders>
              <w:top w:val="single" w:color="auto" w:sz="4" w:space="0"/>
              <w:left w:val="single" w:color="auto" w:sz="4" w:space="0"/>
            </w:tcBorders>
            <w:vAlign w:val="center"/>
          </w:tcPr>
          <w:p>
            <w:pPr>
              <w:spacing w:line="440" w:lineRule="exact"/>
              <w:jc w:val="center"/>
              <w:rPr>
                <w:rFonts w:ascii="Times New Roman" w:hAnsi="Times New Roman"/>
                <w:highlight w:val="none"/>
              </w:rPr>
            </w:pPr>
            <w:r>
              <w:rPr>
                <w:rFonts w:ascii="Times New Roman" w:hAnsi="Times New Roman"/>
                <w:highlight w:val="none"/>
              </w:rPr>
              <w:t>……</w:t>
            </w:r>
          </w:p>
        </w:tc>
      </w:tr>
    </w:tbl>
    <w:p>
      <w:pPr>
        <w:spacing w:line="400" w:lineRule="exact"/>
        <w:rPr>
          <w:rFonts w:ascii="Times New Roman" w:hAnsi="Times New Roman"/>
          <w:color w:val="000000"/>
          <w:highlight w:val="none"/>
        </w:rPr>
      </w:pPr>
      <w:r>
        <w:rPr>
          <w:rFonts w:ascii="Times New Roman" w:hAnsi="Times New Roman"/>
          <w:color w:val="000000"/>
          <w:highlight w:val="none"/>
        </w:rPr>
        <w:br w:type="page"/>
      </w:r>
    </w:p>
    <w:p>
      <w:pPr>
        <w:pStyle w:val="3"/>
        <w:rPr>
          <w:rFonts w:ascii="Times New Roman" w:hAnsi="Times New Roman"/>
          <w:color w:val="000000"/>
          <w:highlight w:val="none"/>
        </w:rPr>
      </w:pPr>
      <w:bookmarkStart w:id="597" w:name="_Toc2012065269"/>
      <w:r>
        <w:rPr>
          <w:rFonts w:ascii="Times New Roman" w:hAnsi="Times New Roman"/>
          <w:color w:val="000000"/>
          <w:highlight w:val="none"/>
        </w:rPr>
        <w:t>1. 评标方法</w:t>
      </w:r>
      <w:bookmarkEnd w:id="597"/>
    </w:p>
    <w:p>
      <w:pPr>
        <w:spacing w:line="400" w:lineRule="exact"/>
        <w:ind w:firstLine="420" w:firstLineChars="200"/>
        <w:rPr>
          <w:rFonts w:ascii="Times New Roman" w:hAnsi="Times New Roman"/>
          <w:highlight w:val="none"/>
        </w:rPr>
      </w:pPr>
      <w:r>
        <w:rPr>
          <w:rFonts w:ascii="Times New Roman" w:hAnsi="Times New Roman"/>
          <w:highlight w:val="none"/>
        </w:rPr>
        <w:t>本次评标采用经评审的最低投标价法。评标委员会对满足招标文件实质性要求的投标文件，根据本章第2.2款规定的评标价格调整方法进行必要的价格调整，并按照经评审的投标价由低到高的顺序推荐中</w:t>
      </w:r>
      <w:bookmarkStart w:id="598" w:name="_Toc144974575"/>
      <w:bookmarkStart w:id="599" w:name="_Toc30581"/>
      <w:bookmarkStart w:id="600" w:name="_Toc247514031"/>
      <w:bookmarkStart w:id="601" w:name="_Toc352691542"/>
      <w:bookmarkStart w:id="602" w:name="_Toc152042385"/>
      <w:bookmarkStart w:id="603" w:name="_Toc152045607"/>
      <w:bookmarkStart w:id="604" w:name="_Toc300835017"/>
      <w:bookmarkStart w:id="605" w:name="_Toc361508655"/>
      <w:bookmarkStart w:id="606" w:name="_Toc369531586"/>
      <w:bookmarkStart w:id="607" w:name="_Toc247527632"/>
      <w:bookmarkStart w:id="608" w:name="_Toc384308281"/>
      <w:r>
        <w:rPr>
          <w:rFonts w:ascii="Times New Roman" w:hAnsi="Times New Roman"/>
          <w:highlight w:val="none"/>
        </w:rPr>
        <w:t>标候选人，或根据招标人</w:t>
      </w:r>
      <w:bookmarkEnd w:id="598"/>
      <w:r>
        <w:rPr>
          <w:rFonts w:ascii="Times New Roman" w:hAnsi="Times New Roman"/>
          <w:highlight w:val="none"/>
        </w:rPr>
        <w:t>授权直</w:t>
      </w:r>
      <w:bookmarkEnd w:id="599"/>
      <w:bookmarkEnd w:id="600"/>
      <w:bookmarkEnd w:id="601"/>
      <w:bookmarkEnd w:id="602"/>
      <w:bookmarkEnd w:id="603"/>
      <w:bookmarkEnd w:id="604"/>
      <w:bookmarkEnd w:id="605"/>
      <w:bookmarkEnd w:id="606"/>
      <w:bookmarkEnd w:id="607"/>
      <w:bookmarkEnd w:id="608"/>
      <w:r>
        <w:rPr>
          <w:rFonts w:ascii="Times New Roman" w:hAnsi="Times New Roman"/>
          <w:highlight w:val="none"/>
        </w:rPr>
        <w:t>接确定中标人，但投标报价低于其成本的除外。经评审的投标价相等时，投标报价低的优先；投标报价也相等的，</w:t>
      </w:r>
      <w:r>
        <w:rPr>
          <w:rFonts w:ascii="Times New Roman" w:hAnsi="Times New Roman"/>
          <w:color w:val="000000"/>
          <w:highlight w:val="none"/>
        </w:rPr>
        <w:t>按照评标办法前附表中的规定确定中标候选人顺序</w:t>
      </w:r>
      <w:r>
        <w:rPr>
          <w:rFonts w:ascii="Times New Roman" w:hAnsi="Times New Roman"/>
          <w:highlight w:val="none"/>
        </w:rPr>
        <w:t>。</w:t>
      </w:r>
    </w:p>
    <w:p>
      <w:pPr>
        <w:pStyle w:val="3"/>
        <w:rPr>
          <w:rFonts w:ascii="Times New Roman" w:hAnsi="Times New Roman"/>
          <w:color w:val="000000"/>
          <w:highlight w:val="none"/>
        </w:rPr>
      </w:pPr>
      <w:bookmarkStart w:id="609" w:name="_Toc2080107542"/>
      <w:r>
        <w:rPr>
          <w:rFonts w:ascii="Times New Roman" w:hAnsi="Times New Roman"/>
          <w:color w:val="000000"/>
          <w:highlight w:val="none"/>
        </w:rPr>
        <w:t>2. 评审标准</w:t>
      </w:r>
      <w:bookmarkEnd w:id="609"/>
    </w:p>
    <w:p>
      <w:pPr>
        <w:pStyle w:val="4"/>
        <w:spacing w:line="240" w:lineRule="auto"/>
        <w:ind w:firstLine="137"/>
        <w:rPr>
          <w:rFonts w:ascii="Times New Roman" w:hAnsi="Times New Roman"/>
          <w:color w:val="000000"/>
          <w:highlight w:val="none"/>
        </w:rPr>
      </w:pPr>
      <w:bookmarkStart w:id="610" w:name="_Toc2054985976"/>
      <w:r>
        <w:rPr>
          <w:rFonts w:ascii="Times New Roman" w:hAnsi="Times New Roman"/>
          <w:color w:val="000000"/>
          <w:highlight w:val="none"/>
        </w:rPr>
        <w:t>2.1 初步评审标准</w:t>
      </w:r>
      <w:bookmarkEnd w:id="610"/>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2.1.1 形式评审标准：见评标办法前附表。</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2.1.2 资格评审标准：见评标办法前附表。</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2.1.3 响应性评审标准：见评标办法前附表。</w:t>
      </w:r>
    </w:p>
    <w:p>
      <w:pPr>
        <w:pStyle w:val="4"/>
        <w:spacing w:line="240" w:lineRule="auto"/>
        <w:ind w:firstLine="137"/>
        <w:rPr>
          <w:rFonts w:ascii="Times New Roman" w:hAnsi="Times New Roman"/>
          <w:color w:val="000000"/>
          <w:highlight w:val="none"/>
        </w:rPr>
      </w:pPr>
      <w:bookmarkStart w:id="611" w:name="_Toc901914268"/>
      <w:r>
        <w:rPr>
          <w:rFonts w:ascii="Times New Roman" w:hAnsi="Times New Roman"/>
          <w:color w:val="000000"/>
          <w:highlight w:val="none"/>
        </w:rPr>
        <w:t xml:space="preserve">2.2 </w:t>
      </w:r>
      <w:r>
        <w:rPr>
          <w:rFonts w:hint="eastAsia" w:ascii="Times New Roman" w:hAnsi="Times New Roman"/>
          <w:color w:val="000000"/>
          <w:highlight w:val="none"/>
        </w:rPr>
        <w:t>详细评审标准</w:t>
      </w:r>
      <w:bookmarkEnd w:id="611"/>
    </w:p>
    <w:p>
      <w:pPr>
        <w:spacing w:line="400" w:lineRule="exact"/>
        <w:ind w:firstLine="420" w:firstLineChars="200"/>
        <w:rPr>
          <w:rFonts w:ascii="Times New Roman" w:hAnsi="Times New Roman"/>
          <w:highlight w:val="none"/>
        </w:rPr>
      </w:pPr>
      <w:r>
        <w:rPr>
          <w:rFonts w:ascii="Times New Roman" w:hAnsi="Times New Roman"/>
          <w:highlight w:val="none"/>
        </w:rPr>
        <w:t>详细评审标准：见评标办法前附表。</w:t>
      </w:r>
    </w:p>
    <w:p>
      <w:pPr>
        <w:pStyle w:val="3"/>
        <w:rPr>
          <w:rFonts w:ascii="Times New Roman" w:hAnsi="Times New Roman"/>
          <w:color w:val="000000"/>
          <w:highlight w:val="none"/>
        </w:rPr>
      </w:pPr>
      <w:bookmarkStart w:id="612" w:name="_Toc943572560"/>
      <w:r>
        <w:rPr>
          <w:rFonts w:ascii="Times New Roman" w:hAnsi="Times New Roman"/>
          <w:color w:val="000000"/>
          <w:highlight w:val="none"/>
        </w:rPr>
        <w:t>3. 评标程序</w:t>
      </w:r>
      <w:bookmarkEnd w:id="612"/>
    </w:p>
    <w:p>
      <w:pPr>
        <w:pStyle w:val="4"/>
        <w:spacing w:line="240" w:lineRule="auto"/>
        <w:ind w:firstLine="137"/>
        <w:rPr>
          <w:rFonts w:ascii="Times New Roman" w:hAnsi="Times New Roman"/>
          <w:color w:val="000000"/>
          <w:highlight w:val="none"/>
        </w:rPr>
      </w:pPr>
      <w:bookmarkStart w:id="613" w:name="_Toc1181151496"/>
      <w:r>
        <w:rPr>
          <w:rFonts w:ascii="Times New Roman" w:hAnsi="Times New Roman"/>
          <w:color w:val="000000"/>
          <w:highlight w:val="none"/>
        </w:rPr>
        <w:t>3.1 初步评审</w:t>
      </w:r>
      <w:bookmarkEnd w:id="613"/>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3.1.1 评标委员会可以要求投标人提交第二章“投标人须知”规定的有关证明和证件的原件，以便核验。评标委员会依据本章第2.1款规定的标准对投标文件进行初步评审。有一项不符合评审标准的，评标委员会应当否决其投标。</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3.1.2 投标人有以下情形之一的，评标委员会应当否决其投标：</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（1）投标文件没有对招标文件的实质性要求和条件作出响应</w:t>
      </w:r>
      <w:r>
        <w:rPr>
          <w:rFonts w:hint="eastAsia" w:ascii="Times New Roman" w:hAnsi="Times New Roman"/>
          <w:color w:val="000000"/>
          <w:highlight w:val="none"/>
        </w:rPr>
        <w:t>，</w:t>
      </w:r>
      <w:r>
        <w:rPr>
          <w:rFonts w:ascii="Times New Roman" w:hAnsi="Times New Roman"/>
          <w:color w:val="000000"/>
          <w:highlight w:val="none"/>
        </w:rPr>
        <w:t>或者对招标文件的偏差超出招标文件规定的偏差范围或最高项数；</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（2）有串通投标、弄虚作假、行贿等违法行为。</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3.1.3 投标报价有算术错误及其他错误的，评标委员会按以下原则对投标报价进行修正，并要求投标人书面澄清确认。投标人拒不澄清确认的，评标委员会应当否决其投标：</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（1）投标文件中的大写金额与小写金额不一致的，以大写金额为准；</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（2）总价金额与单价金额不一致的，以单价金额为准，但单价金额小数点有明显错误的除外；</w:t>
      </w:r>
    </w:p>
    <w:p>
      <w:pPr>
        <w:spacing w:line="400" w:lineRule="exact"/>
        <w:ind w:firstLine="420" w:firstLineChars="200"/>
        <w:rPr>
          <w:rFonts w:ascii="Times New Roman" w:hAnsi="Times New Roman"/>
          <w:caps/>
          <w:color w:val="000000"/>
          <w:highlight w:val="none"/>
        </w:rPr>
      </w:pPr>
      <w:r>
        <w:rPr>
          <w:rFonts w:ascii="Times New Roman" w:hAnsi="Times New Roman"/>
          <w:color w:val="000000"/>
          <w:highlight w:val="none"/>
        </w:rPr>
        <w:t>（3）投标报价为各分项报价金额之和，投标报价与分项报价的合价不一致的，应以各分项合价累计数为准，修正投标报价；</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（4）</w:t>
      </w:r>
      <w:r>
        <w:rPr>
          <w:rFonts w:hint="eastAsia" w:ascii="Times New Roman" w:hAnsi="Times New Roman"/>
          <w:color w:val="000000"/>
          <w:highlight w:val="none"/>
        </w:rPr>
        <w:t>如果</w:t>
      </w:r>
      <w:r>
        <w:rPr>
          <w:rFonts w:ascii="Times New Roman" w:hAnsi="Times New Roman"/>
          <w:color w:val="000000"/>
          <w:highlight w:val="none"/>
        </w:rPr>
        <w:t>分项报价中存在缺漏项，则视为缺漏项价格已包含在其他分项报价之中。</w:t>
      </w:r>
    </w:p>
    <w:p>
      <w:pPr>
        <w:pStyle w:val="4"/>
        <w:spacing w:line="240" w:lineRule="auto"/>
        <w:ind w:firstLine="137"/>
        <w:rPr>
          <w:rFonts w:ascii="Times New Roman" w:hAnsi="Times New Roman"/>
          <w:color w:val="000000"/>
          <w:highlight w:val="none"/>
        </w:rPr>
      </w:pPr>
      <w:bookmarkStart w:id="614" w:name="_Toc1044736564"/>
      <w:r>
        <w:rPr>
          <w:rFonts w:ascii="Times New Roman" w:hAnsi="Times New Roman"/>
          <w:color w:val="000000"/>
          <w:highlight w:val="none"/>
        </w:rPr>
        <w:t xml:space="preserve">3.2 </w:t>
      </w:r>
      <w:r>
        <w:rPr>
          <w:rFonts w:hint="eastAsia" w:ascii="Times New Roman" w:hAnsi="Times New Roman"/>
          <w:color w:val="000000"/>
          <w:highlight w:val="none"/>
        </w:rPr>
        <w:t>详细评审</w:t>
      </w:r>
      <w:bookmarkEnd w:id="614"/>
    </w:p>
    <w:p>
      <w:pPr>
        <w:spacing w:line="400" w:lineRule="exact"/>
        <w:ind w:firstLine="420" w:firstLineChars="200"/>
        <w:rPr>
          <w:rFonts w:ascii="Times New Roman" w:hAnsi="Times New Roman"/>
          <w:highlight w:val="none"/>
        </w:rPr>
      </w:pPr>
      <w:r>
        <w:rPr>
          <w:rFonts w:ascii="Times New Roman" w:hAnsi="Times New Roman"/>
          <w:highlight w:val="none"/>
        </w:rPr>
        <w:t>3.2.1 评标委员会按本章第2</w:t>
      </w:r>
      <w:bookmarkStart w:id="615" w:name="_Toc5752"/>
      <w:r>
        <w:rPr>
          <w:rFonts w:ascii="Times New Roman" w:hAnsi="Times New Roman"/>
          <w:highlight w:val="none"/>
        </w:rPr>
        <w:t>.2款规定的评标价格调整方法进行必要的价格调整，</w:t>
      </w:r>
      <w:bookmarkEnd w:id="615"/>
      <w:r>
        <w:rPr>
          <w:rFonts w:ascii="Times New Roman" w:hAnsi="Times New Roman"/>
          <w:highlight w:val="none"/>
        </w:rPr>
        <w:t xml:space="preserve">并编制“标价比较表”。 </w:t>
      </w:r>
    </w:p>
    <w:p>
      <w:pPr>
        <w:spacing w:line="400" w:lineRule="exact"/>
        <w:ind w:firstLine="420" w:firstLineChars="200"/>
        <w:rPr>
          <w:rFonts w:ascii="Times New Roman" w:hAnsi="Times New Roman"/>
          <w:highlight w:val="none"/>
        </w:rPr>
      </w:pPr>
      <w:r>
        <w:rPr>
          <w:rFonts w:ascii="Times New Roman" w:hAnsi="Times New Roman"/>
          <w:highlight w:val="none"/>
        </w:rPr>
        <w:t>3.2.2 评标委员会发现投标人的报价明显低于其他投标报价，使得其投标报价可能低于其成本的，应当要求该投标人作出书面说明并提</w:t>
      </w:r>
      <w:bookmarkStart w:id="616" w:name="_Toc20421"/>
      <w:r>
        <w:rPr>
          <w:rFonts w:ascii="Times New Roman" w:hAnsi="Times New Roman"/>
          <w:highlight w:val="none"/>
        </w:rPr>
        <w:t>供相应的证明材料。投</w:t>
      </w:r>
      <w:bookmarkEnd w:id="616"/>
      <w:r>
        <w:rPr>
          <w:rFonts w:ascii="Times New Roman" w:hAnsi="Times New Roman"/>
          <w:highlight w:val="none"/>
        </w:rPr>
        <w:t>标人不能合理说明或者不能提供相应证明材料的，</w:t>
      </w:r>
      <w:bookmarkStart w:id="617" w:name="_Toc342"/>
      <w:r>
        <w:rPr>
          <w:rFonts w:ascii="Times New Roman" w:hAnsi="Times New Roman"/>
          <w:highlight w:val="none"/>
        </w:rPr>
        <w:t>由评标委员会认</w:t>
      </w:r>
      <w:bookmarkEnd w:id="617"/>
      <w:r>
        <w:rPr>
          <w:rFonts w:ascii="Times New Roman" w:hAnsi="Times New Roman"/>
          <w:highlight w:val="none"/>
        </w:rPr>
        <w:t>定</w:t>
      </w:r>
      <w:bookmarkStart w:id="618" w:name="_Toc30757"/>
      <w:r>
        <w:rPr>
          <w:rFonts w:ascii="Times New Roman" w:hAnsi="Times New Roman"/>
          <w:highlight w:val="none"/>
        </w:rPr>
        <w:t>该投标人以低于成</w:t>
      </w:r>
      <w:bookmarkEnd w:id="618"/>
      <w:r>
        <w:rPr>
          <w:rFonts w:ascii="Times New Roman" w:hAnsi="Times New Roman"/>
          <w:highlight w:val="none"/>
        </w:rPr>
        <w:t>本报价竞标，并否决其投标。</w:t>
      </w:r>
    </w:p>
    <w:p>
      <w:pPr>
        <w:pStyle w:val="4"/>
        <w:spacing w:line="240" w:lineRule="auto"/>
        <w:ind w:firstLine="137"/>
        <w:rPr>
          <w:rFonts w:ascii="Times New Roman" w:hAnsi="Times New Roman"/>
          <w:color w:val="000000"/>
          <w:highlight w:val="none"/>
        </w:rPr>
      </w:pPr>
      <w:bookmarkStart w:id="619" w:name="_Toc335538814"/>
      <w:r>
        <w:rPr>
          <w:rFonts w:ascii="Times New Roman" w:hAnsi="Times New Roman"/>
          <w:color w:val="000000"/>
          <w:highlight w:val="none"/>
        </w:rPr>
        <w:t>3.3 投标文件的澄清</w:t>
      </w:r>
      <w:bookmarkEnd w:id="619"/>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3.3.1 在评标过程中，评标委员会可以书面形式要求投标人对投标文件中含义不明确、对同类问题表述不一致或者有明显文字和计算错误的内容做必要的澄清、说明或补正。澄清、说明或补正应以书面方式进行。评标委员会不接受投标人主动提出的澄清、说明或补正。</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3.3.2 澄清、说明或补正不得超出投标文件的范围且不得改变投标文件的实质性内容，并构成投标文件的组成部分。</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3.3.3 评标委员会对投标人提交的澄清、说明或补正有疑问的，可以要求投标人进一步澄清、说明或补正，直至满足评标委员会的要求。</w:t>
      </w:r>
    </w:p>
    <w:p>
      <w:pPr>
        <w:pStyle w:val="4"/>
        <w:spacing w:line="240" w:lineRule="auto"/>
        <w:ind w:firstLine="137"/>
        <w:rPr>
          <w:rFonts w:ascii="Times New Roman" w:hAnsi="Times New Roman"/>
          <w:color w:val="000000"/>
          <w:highlight w:val="none"/>
        </w:rPr>
      </w:pPr>
      <w:bookmarkStart w:id="620" w:name="_Toc1482176724"/>
      <w:r>
        <w:rPr>
          <w:rFonts w:ascii="Times New Roman" w:hAnsi="Times New Roman"/>
          <w:color w:val="000000"/>
          <w:highlight w:val="none"/>
        </w:rPr>
        <w:t>3.4 评标结果</w:t>
      </w:r>
      <w:bookmarkEnd w:id="620"/>
    </w:p>
    <w:p>
      <w:pPr>
        <w:spacing w:line="360" w:lineRule="auto"/>
        <w:rPr>
          <w:rFonts w:ascii="Times New Roman" w:hAnsi="Times New Roman"/>
          <w:color w:val="000000"/>
          <w:highlight w:val="none"/>
        </w:rPr>
      </w:pPr>
      <w:r>
        <w:rPr>
          <w:rFonts w:ascii="Times New Roman" w:hAnsi="Times New Roman"/>
          <w:color w:val="000000"/>
          <w:highlight w:val="none"/>
        </w:rPr>
        <w:t xml:space="preserve">   3.4.1 除第二章“投标人须知”前附表授权直接确定中标人外，评标委员会按照经评审的价格由低到高的顺序推荐中标候选人，并标明排序。</w:t>
      </w:r>
    </w:p>
    <w:p>
      <w:pPr>
        <w:spacing w:line="400" w:lineRule="exact"/>
        <w:rPr>
          <w:rFonts w:ascii="Times New Roman" w:hAnsi="Times New Roman"/>
          <w:color w:val="000000"/>
          <w:highlight w:val="none"/>
        </w:rPr>
      </w:pPr>
      <w:r>
        <w:rPr>
          <w:rFonts w:ascii="Times New Roman" w:hAnsi="Times New Roman"/>
          <w:color w:val="000000"/>
          <w:highlight w:val="none"/>
        </w:rPr>
        <w:t xml:space="preserve">   3.4.2 评标委员会完成评标后，应当向招标人提交书面评标报告和中标候选人名单。</w:t>
      </w:r>
    </w:p>
    <w:p>
      <w:pPr>
        <w:widowControl/>
        <w:jc w:val="left"/>
        <w:rPr>
          <w:rFonts w:ascii="Times New Roman" w:hAnsi="Times New Roman"/>
          <w:color w:val="000000"/>
          <w:highlight w:val="none"/>
        </w:rPr>
      </w:pPr>
      <w:r>
        <w:rPr>
          <w:rFonts w:ascii="Times New Roman" w:hAnsi="Times New Roman"/>
          <w:color w:val="000000"/>
          <w:highlight w:val="none"/>
        </w:rPr>
        <w:br w:type="page"/>
      </w:r>
    </w:p>
    <w:p>
      <w:pPr>
        <w:keepNext/>
        <w:keepLines/>
        <w:spacing w:before="120" w:after="120" w:line="600" w:lineRule="exact"/>
        <w:outlineLvl w:val="1"/>
        <w:rPr>
          <w:rFonts w:ascii="仿宋_GB2312" w:hAnsi="宋体" w:eastAsia="仿宋_GB2312"/>
          <w:b/>
          <w:bCs/>
          <w:sz w:val="32"/>
          <w:szCs w:val="32"/>
          <w:highlight w:val="none"/>
        </w:rPr>
      </w:pPr>
      <w:bookmarkStart w:id="621" w:name="_Toc1700023733"/>
      <w:r>
        <w:rPr>
          <w:rFonts w:hint="eastAsia" w:ascii="仿宋_GB2312" w:hAnsi="宋体" w:eastAsia="仿宋_GB2312"/>
          <w:sz w:val="28"/>
          <w:szCs w:val="28"/>
          <w:highlight w:val="none"/>
        </w:rPr>
        <w:t>附件</w:t>
      </w:r>
      <w:r>
        <w:rPr>
          <w:rFonts w:hint="eastAsia" w:ascii="仿宋_GB2312" w:hAnsi="宋体" w:eastAsia="仿宋_GB2312"/>
          <w:sz w:val="28"/>
          <w:szCs w:val="28"/>
          <w:highlight w:val="none"/>
          <w:lang w:val="en-US" w:eastAsia="zh-CN"/>
        </w:rPr>
        <w:t>一</w:t>
      </w:r>
      <w:r>
        <w:rPr>
          <w:rFonts w:hint="eastAsia" w:ascii="仿宋_GB2312" w:hAnsi="宋体" w:eastAsia="仿宋_GB2312"/>
          <w:sz w:val="28"/>
          <w:szCs w:val="28"/>
          <w:highlight w:val="none"/>
        </w:rPr>
        <w:t>： 询标函</w:t>
      </w:r>
      <w:bookmarkEnd w:id="621"/>
    </w:p>
    <w:tbl>
      <w:tblPr>
        <w:tblStyle w:val="29"/>
        <w:tblW w:w="9089" w:type="dxa"/>
        <w:tblInd w:w="93" w:type="dxa"/>
        <w:tblLayout w:type="fixed"/>
        <w:tblCellMar>
          <w:top w:w="0" w:type="dxa"/>
          <w:left w:w="108" w:type="dxa"/>
          <w:bottom w:w="0" w:type="dxa"/>
          <w:right w:w="108" w:type="dxa"/>
        </w:tblCellMar>
      </w:tblPr>
      <w:tblGrid>
        <w:gridCol w:w="1291"/>
        <w:gridCol w:w="7798"/>
      </w:tblGrid>
      <w:tr>
        <w:tblPrEx>
          <w:tblCellMar>
            <w:top w:w="0" w:type="dxa"/>
            <w:left w:w="108" w:type="dxa"/>
            <w:bottom w:w="0" w:type="dxa"/>
            <w:right w:w="108" w:type="dxa"/>
          </w:tblCellMar>
        </w:tblPrEx>
        <w:trPr>
          <w:trHeight w:val="690" w:hRule="atLeast"/>
        </w:trPr>
        <w:tc>
          <w:tcPr>
            <w:tcW w:w="9089" w:type="dxa"/>
            <w:gridSpan w:val="2"/>
            <w:tcBorders>
              <w:top w:val="nil"/>
              <w:left w:val="nil"/>
              <w:bottom w:val="nil"/>
              <w:right w:val="nil"/>
            </w:tcBorders>
            <w:noWrap/>
            <w:vAlign w:val="center"/>
          </w:tcPr>
          <w:p>
            <w:pPr>
              <w:widowControl/>
              <w:jc w:val="center"/>
              <w:rPr>
                <w:rFonts w:ascii="黑体" w:hAnsi="黑体" w:eastAsia="黑体" w:cs="黑体"/>
                <w:kern w:val="0"/>
                <w:sz w:val="44"/>
                <w:szCs w:val="44"/>
                <w:highlight w:val="none"/>
              </w:rPr>
            </w:pPr>
            <w:r>
              <w:rPr>
                <w:rFonts w:hint="eastAsia" w:ascii="黑体" w:hAnsi="黑体" w:eastAsia="黑体" w:cs="黑体"/>
                <w:kern w:val="0"/>
                <w:sz w:val="44"/>
                <w:szCs w:val="44"/>
                <w:highlight w:val="none"/>
              </w:rPr>
              <w:t>询   标   函</w:t>
            </w:r>
          </w:p>
          <w:p>
            <w:pPr>
              <w:widowControl/>
              <w:rPr>
                <w:rFonts w:cs="Arial" w:asciiTheme="minorEastAsia" w:hAnsiTheme="minorEastAsia" w:eastAsiaTheme="minorEastAsia"/>
                <w:kern w:val="0"/>
                <w:szCs w:val="21"/>
                <w:highlight w:val="none"/>
              </w:rPr>
            </w:pPr>
            <w:r>
              <w:rPr>
                <w:rFonts w:hint="eastAsia" w:asciiTheme="minorEastAsia" w:hAnsiTheme="minorEastAsia" w:eastAsiaTheme="minorEastAsia"/>
                <w:kern w:val="0"/>
                <w:szCs w:val="21"/>
                <w:highlight w:val="none"/>
              </w:rPr>
              <w:t>项目（标段）名称：</w:t>
            </w:r>
            <w:r>
              <w:rPr>
                <w:rFonts w:asciiTheme="minorEastAsia" w:hAnsiTheme="minorEastAsia" w:eastAsiaTheme="minorEastAsia"/>
                <w:kern w:val="0"/>
                <w:szCs w:val="21"/>
                <w:highlight w:val="none"/>
              </w:rPr>
              <w:t xml:space="preserve">                       </w:t>
            </w:r>
            <w:r>
              <w:rPr>
                <w:rFonts w:hint="eastAsia" w:asciiTheme="minorEastAsia" w:hAnsiTheme="minorEastAsia" w:eastAsiaTheme="minorEastAsia"/>
                <w:kern w:val="0"/>
                <w:szCs w:val="21"/>
                <w:highlight w:val="none"/>
              </w:rPr>
              <w:t>项目</w:t>
            </w:r>
            <w:r>
              <w:rPr>
                <w:rFonts w:hint="eastAsia" w:cs="Arial" w:asciiTheme="minorEastAsia" w:hAnsiTheme="minorEastAsia" w:eastAsiaTheme="minorEastAsia"/>
                <w:kern w:val="0"/>
                <w:szCs w:val="21"/>
                <w:highlight w:val="none"/>
              </w:rPr>
              <w:t>（</w:t>
            </w:r>
            <w:r>
              <w:rPr>
                <w:rFonts w:hint="eastAsia" w:asciiTheme="minorEastAsia" w:hAnsiTheme="minorEastAsia" w:eastAsiaTheme="minorEastAsia"/>
                <w:kern w:val="0"/>
                <w:szCs w:val="21"/>
                <w:highlight w:val="none"/>
              </w:rPr>
              <w:t>标段）编号：</w:t>
            </w:r>
          </w:p>
          <w:p>
            <w:pPr>
              <w:widowControl/>
              <w:rPr>
                <w:rFonts w:cs="Arial" w:asciiTheme="minorEastAsia" w:hAnsiTheme="minorEastAsia" w:eastAsiaTheme="minorEastAsia"/>
                <w:kern w:val="0"/>
                <w:szCs w:val="21"/>
                <w:highlight w:val="none"/>
              </w:rPr>
            </w:pPr>
          </w:p>
          <w:p>
            <w:pPr>
              <w:widowControl/>
              <w:rPr>
                <w:rFonts w:ascii="仿宋_GB2312" w:hAnsi="_x000B__x000C_" w:eastAsia="仿宋_GB2312" w:cs="Arial"/>
                <w:kern w:val="0"/>
                <w:sz w:val="24"/>
                <w:szCs w:val="24"/>
                <w:highlight w:val="none"/>
              </w:rPr>
            </w:pPr>
            <w:r>
              <w:rPr>
                <w:rFonts w:hint="eastAsia" w:cs="Arial" w:asciiTheme="minorEastAsia" w:hAnsiTheme="minorEastAsia" w:eastAsiaTheme="minorEastAsia"/>
                <w:kern w:val="0"/>
                <w:szCs w:val="21"/>
                <w:highlight w:val="none"/>
              </w:rPr>
              <w:t>日期：</w:t>
            </w:r>
            <w:r>
              <w:rPr>
                <w:rFonts w:cs="Arial" w:asciiTheme="minorEastAsia" w:hAnsiTheme="minorEastAsia" w:eastAsiaTheme="minorEastAsia"/>
                <w:kern w:val="0"/>
                <w:szCs w:val="21"/>
                <w:highlight w:val="none"/>
                <w:u w:val="single"/>
              </w:rPr>
              <w:t xml:space="preserve">     </w:t>
            </w:r>
            <w:r>
              <w:rPr>
                <w:rFonts w:hint="eastAsia" w:cs="Arial" w:asciiTheme="minorEastAsia" w:hAnsiTheme="minorEastAsia" w:eastAsiaTheme="minorEastAsia"/>
                <w:kern w:val="0"/>
                <w:szCs w:val="21"/>
                <w:highlight w:val="none"/>
              </w:rPr>
              <w:t>年</w:t>
            </w:r>
            <w:r>
              <w:rPr>
                <w:rFonts w:cs="Arial" w:asciiTheme="minorEastAsia" w:hAnsiTheme="minorEastAsia" w:eastAsiaTheme="minorEastAsia"/>
                <w:kern w:val="0"/>
                <w:szCs w:val="21"/>
                <w:highlight w:val="none"/>
                <w:u w:val="single"/>
              </w:rPr>
              <w:t xml:space="preserve">    </w:t>
            </w:r>
            <w:r>
              <w:rPr>
                <w:rFonts w:hint="eastAsia" w:cs="Arial" w:asciiTheme="minorEastAsia" w:hAnsiTheme="minorEastAsia" w:eastAsiaTheme="minorEastAsia"/>
                <w:kern w:val="0"/>
                <w:szCs w:val="21"/>
                <w:highlight w:val="none"/>
              </w:rPr>
              <w:t>月</w:t>
            </w:r>
            <w:r>
              <w:rPr>
                <w:rFonts w:cs="Arial" w:asciiTheme="minorEastAsia" w:hAnsiTheme="minorEastAsia" w:eastAsiaTheme="minorEastAsia"/>
                <w:kern w:val="0"/>
                <w:szCs w:val="21"/>
                <w:highlight w:val="none"/>
                <w:u w:val="single"/>
              </w:rPr>
              <w:t xml:space="preserve">    </w:t>
            </w:r>
            <w:r>
              <w:rPr>
                <w:rFonts w:hint="eastAsia" w:cs="Arial" w:asciiTheme="minorEastAsia" w:hAnsiTheme="minorEastAsia" w:eastAsiaTheme="minorEastAsia"/>
                <w:kern w:val="0"/>
                <w:szCs w:val="21"/>
                <w:highlight w:val="none"/>
              </w:rPr>
              <w:t>日</w:t>
            </w:r>
          </w:p>
        </w:tc>
      </w:tr>
      <w:tr>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pPr>
              <w:widowControl/>
              <w:jc w:val="center"/>
              <w:rPr>
                <w:rFonts w:cs="仿宋_GB2312" w:asciiTheme="majorEastAsia" w:hAnsiTheme="majorEastAsia" w:eastAsiaTheme="majorEastAsia"/>
                <w:kern w:val="0"/>
                <w:sz w:val="21"/>
                <w:szCs w:val="21"/>
                <w:highlight w:val="none"/>
              </w:rPr>
            </w:pPr>
            <w:r>
              <w:rPr>
                <w:rFonts w:hint="eastAsia" w:cs="仿宋_GB2312" w:asciiTheme="majorEastAsia" w:hAnsiTheme="majorEastAsia" w:eastAsiaTheme="majorEastAsia"/>
                <w:kern w:val="0"/>
                <w:sz w:val="21"/>
                <w:szCs w:val="21"/>
                <w:highlight w:val="none"/>
              </w:rPr>
              <w:t>询</w:t>
            </w:r>
            <w:r>
              <w:rPr>
                <w:rFonts w:cs="仿宋_GB2312" w:asciiTheme="majorEastAsia" w:hAnsiTheme="majorEastAsia" w:eastAsiaTheme="majorEastAsia"/>
                <w:kern w:val="0"/>
                <w:sz w:val="21"/>
                <w:szCs w:val="21"/>
                <w:highlight w:val="none"/>
              </w:rPr>
              <w:t xml:space="preserve"> 标 内 容</w:t>
            </w:r>
          </w:p>
        </w:tc>
        <w:tc>
          <w:tcPr>
            <w:tcW w:w="7798" w:type="dxa"/>
            <w:tcBorders>
              <w:top w:val="single" w:color="auto" w:sz="4" w:space="0"/>
              <w:left w:val="nil"/>
              <w:bottom w:val="nil"/>
              <w:right w:val="single" w:color="000000" w:sz="4" w:space="0"/>
            </w:tcBorders>
          </w:tcPr>
          <w:p>
            <w:pPr>
              <w:widowControl/>
              <w:jc w:val="left"/>
              <w:rPr>
                <w:rFonts w:cs="仿宋_GB2312" w:asciiTheme="majorEastAsia" w:hAnsiTheme="majorEastAsia" w:eastAsiaTheme="majorEastAsia"/>
                <w:kern w:val="0"/>
                <w:sz w:val="21"/>
                <w:szCs w:val="21"/>
                <w:highlight w:val="none"/>
              </w:rPr>
            </w:pPr>
            <w:r>
              <w:rPr>
                <w:rFonts w:hint="eastAsia" w:cs="仿宋_GB2312" w:asciiTheme="majorEastAsia" w:hAnsiTheme="majorEastAsia" w:eastAsiaTheme="majorEastAsia"/>
                <w:kern w:val="0"/>
                <w:sz w:val="21"/>
                <w:szCs w:val="21"/>
                <w:highlight w:val="none"/>
              </w:rPr>
              <w:t>单位名称：</w:t>
            </w:r>
            <w:r>
              <w:rPr>
                <w:rFonts w:cs="仿宋_GB2312" w:asciiTheme="majorEastAsia" w:hAnsiTheme="majorEastAsia" w:eastAsiaTheme="majorEastAsia"/>
                <w:kern w:val="0"/>
                <w:sz w:val="21"/>
                <w:szCs w:val="21"/>
                <w:highlight w:val="none"/>
              </w:rPr>
              <w:br w:type="textWrapping"/>
            </w:r>
            <w:r>
              <w:rPr>
                <w:rFonts w:cs="仿宋_GB2312" w:asciiTheme="majorEastAsia" w:hAnsiTheme="majorEastAsia" w:eastAsiaTheme="majorEastAsia"/>
                <w:kern w:val="0"/>
                <w:sz w:val="21"/>
                <w:szCs w:val="21"/>
                <w:highlight w:val="none"/>
              </w:rPr>
              <w:br w:type="textWrapping"/>
            </w:r>
            <w:r>
              <w:rPr>
                <w:rFonts w:hint="eastAsia" w:cs="仿宋_GB2312" w:asciiTheme="majorEastAsia" w:hAnsiTheme="majorEastAsia" w:eastAsiaTheme="majorEastAsia"/>
                <w:kern w:val="0"/>
                <w:sz w:val="21"/>
                <w:szCs w:val="21"/>
                <w:highlight w:val="none"/>
              </w:rPr>
              <w:t>询标内容：</w:t>
            </w:r>
          </w:p>
        </w:tc>
      </w:tr>
      <w:tr>
        <w:tblPrEx>
          <w:tblCellMar>
            <w:top w:w="0" w:type="dxa"/>
            <w:left w:w="108" w:type="dxa"/>
            <w:bottom w:w="0" w:type="dxa"/>
            <w:right w:w="108" w:type="dxa"/>
          </w:tblCellMar>
        </w:tblPrEx>
        <w:trPr>
          <w:trHeight w:val="2413" w:hRule="atLeast"/>
        </w:trPr>
        <w:tc>
          <w:tcPr>
            <w:tcW w:w="1291" w:type="dxa"/>
            <w:tcBorders>
              <w:top w:val="single" w:color="auto" w:sz="4" w:space="0"/>
              <w:left w:val="single" w:color="auto" w:sz="4" w:space="0"/>
              <w:bottom w:val="single" w:color="auto" w:sz="4" w:space="0"/>
              <w:right w:val="nil"/>
            </w:tcBorders>
            <w:vAlign w:val="center"/>
          </w:tcPr>
          <w:p>
            <w:pPr>
              <w:widowControl/>
              <w:jc w:val="center"/>
              <w:rPr>
                <w:rFonts w:cs="仿宋_GB2312" w:asciiTheme="majorEastAsia" w:hAnsiTheme="majorEastAsia" w:eastAsiaTheme="majorEastAsia"/>
                <w:kern w:val="0"/>
                <w:sz w:val="21"/>
                <w:szCs w:val="21"/>
                <w:highlight w:val="none"/>
              </w:rPr>
            </w:pPr>
            <w:r>
              <w:rPr>
                <w:rFonts w:hint="eastAsia" w:cs="仿宋_GB2312" w:asciiTheme="majorEastAsia" w:hAnsiTheme="majorEastAsia" w:eastAsiaTheme="majorEastAsia"/>
                <w:kern w:val="0"/>
                <w:sz w:val="21"/>
                <w:szCs w:val="21"/>
                <w:highlight w:val="none"/>
              </w:rPr>
              <w:t>投标人说明</w:t>
            </w:r>
          </w:p>
        </w:tc>
        <w:tc>
          <w:tcPr>
            <w:tcW w:w="7798" w:type="dxa"/>
            <w:tcBorders>
              <w:top w:val="single" w:color="auto" w:sz="4" w:space="0"/>
              <w:left w:val="single" w:color="auto" w:sz="4" w:space="0"/>
              <w:bottom w:val="nil"/>
              <w:right w:val="single" w:color="000000" w:sz="4" w:space="0"/>
            </w:tcBorders>
            <w:noWrap/>
            <w:vAlign w:val="center"/>
          </w:tcPr>
          <w:p>
            <w:pPr>
              <w:widowControl/>
              <w:rPr>
                <w:rFonts w:cs="仿宋_GB2312" w:asciiTheme="majorEastAsia" w:hAnsiTheme="majorEastAsia" w:eastAsiaTheme="majorEastAsia"/>
                <w:kern w:val="0"/>
                <w:sz w:val="21"/>
                <w:szCs w:val="21"/>
                <w:highlight w:val="none"/>
              </w:rPr>
            </w:pPr>
          </w:p>
        </w:tc>
      </w:tr>
      <w:tr>
        <w:tblPrEx>
          <w:tblCellMar>
            <w:top w:w="0" w:type="dxa"/>
            <w:left w:w="108" w:type="dxa"/>
            <w:bottom w:w="0" w:type="dxa"/>
            <w:right w:w="108" w:type="dxa"/>
          </w:tblCellMar>
        </w:tblPrEx>
        <w:trPr>
          <w:trHeight w:val="2150" w:hRule="atLeast"/>
        </w:trPr>
        <w:tc>
          <w:tcPr>
            <w:tcW w:w="1291" w:type="dxa"/>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ajorEastAsia" w:hAnsiTheme="majorEastAsia" w:eastAsiaTheme="majorEastAsia"/>
                <w:kern w:val="0"/>
                <w:sz w:val="21"/>
                <w:szCs w:val="21"/>
                <w:highlight w:val="none"/>
              </w:rPr>
            </w:pPr>
            <w:r>
              <w:rPr>
                <w:rFonts w:hint="eastAsia" w:cs="仿宋_GB2312" w:asciiTheme="majorEastAsia" w:hAnsiTheme="majorEastAsia" w:eastAsiaTheme="majorEastAsia"/>
                <w:kern w:val="0"/>
                <w:sz w:val="21"/>
                <w:szCs w:val="21"/>
                <w:highlight w:val="none"/>
              </w:rPr>
              <w:t>评委意见</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cs="仿宋_GB2312" w:asciiTheme="majorEastAsia" w:hAnsiTheme="majorEastAsia" w:eastAsiaTheme="majorEastAsia"/>
                <w:kern w:val="0"/>
                <w:sz w:val="21"/>
                <w:szCs w:val="21"/>
                <w:highlight w:val="none"/>
              </w:rPr>
            </w:pPr>
            <w:r>
              <w:rPr>
                <w:rFonts w:hint="eastAsia" w:cs="仿宋_GB2312" w:asciiTheme="majorEastAsia" w:hAnsiTheme="majorEastAsia" w:eastAsiaTheme="majorEastAsia"/>
                <w:kern w:val="0"/>
                <w:sz w:val="21"/>
                <w:szCs w:val="21"/>
                <w:highlight w:val="none"/>
              </w:rPr>
              <w:t>　</w:t>
            </w:r>
          </w:p>
        </w:tc>
      </w:tr>
      <w:tr>
        <w:tblPrEx>
          <w:tblCellMar>
            <w:top w:w="0" w:type="dxa"/>
            <w:left w:w="108" w:type="dxa"/>
            <w:bottom w:w="0" w:type="dxa"/>
            <w:right w:w="108" w:type="dxa"/>
          </w:tblCellMar>
        </w:tblPrEx>
        <w:trPr>
          <w:trHeight w:val="1556" w:hRule="atLeast"/>
        </w:trPr>
        <w:tc>
          <w:tcPr>
            <w:tcW w:w="1291" w:type="dxa"/>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ajorEastAsia" w:hAnsiTheme="majorEastAsia" w:eastAsiaTheme="majorEastAsia"/>
                <w:kern w:val="0"/>
                <w:sz w:val="21"/>
                <w:szCs w:val="21"/>
                <w:highlight w:val="none"/>
              </w:rPr>
            </w:pPr>
            <w:r>
              <w:rPr>
                <w:rFonts w:hint="eastAsia" w:cs="仿宋_GB2312" w:asciiTheme="majorEastAsia" w:hAnsiTheme="majorEastAsia" w:eastAsiaTheme="majorEastAsia"/>
                <w:kern w:val="0"/>
                <w:sz w:val="21"/>
                <w:szCs w:val="21"/>
                <w:highlight w:val="none"/>
              </w:rPr>
              <w:t>评委签章</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cs="仿宋_GB2312" w:asciiTheme="majorEastAsia" w:hAnsiTheme="majorEastAsia" w:eastAsiaTheme="majorEastAsia"/>
                <w:kern w:val="0"/>
                <w:sz w:val="21"/>
                <w:szCs w:val="21"/>
                <w:highlight w:val="none"/>
              </w:rPr>
            </w:pPr>
            <w:r>
              <w:rPr>
                <w:rFonts w:hint="eastAsia" w:cs="仿宋_GB2312" w:asciiTheme="majorEastAsia" w:hAnsiTheme="majorEastAsia" w:eastAsiaTheme="majorEastAsia"/>
                <w:kern w:val="0"/>
                <w:sz w:val="21"/>
                <w:szCs w:val="21"/>
                <w:highlight w:val="none"/>
              </w:rPr>
              <w:t>　</w:t>
            </w:r>
          </w:p>
        </w:tc>
      </w:tr>
      <w:tr>
        <w:tblPrEx>
          <w:tblCellMar>
            <w:top w:w="0" w:type="dxa"/>
            <w:left w:w="108" w:type="dxa"/>
            <w:bottom w:w="0" w:type="dxa"/>
            <w:right w:w="108" w:type="dxa"/>
          </w:tblCellMar>
        </w:tblPrEx>
        <w:trPr>
          <w:trHeight w:val="1556" w:hRule="atLeast"/>
        </w:trPr>
        <w:tc>
          <w:tcPr>
            <w:tcW w:w="1291" w:type="dxa"/>
            <w:tcBorders>
              <w:top w:val="single" w:color="auto" w:sz="4" w:space="0"/>
              <w:left w:val="single" w:color="auto" w:sz="4" w:space="0"/>
              <w:bottom w:val="single" w:color="auto" w:sz="4" w:space="0"/>
              <w:right w:val="single" w:color="auto" w:sz="4" w:space="0"/>
            </w:tcBorders>
            <w:vAlign w:val="center"/>
          </w:tcPr>
          <w:p>
            <w:pPr>
              <w:widowControl/>
              <w:jc w:val="center"/>
              <w:rPr>
                <w:rFonts w:cs="仿宋_GB2312" w:asciiTheme="majorEastAsia" w:hAnsiTheme="majorEastAsia" w:eastAsiaTheme="majorEastAsia"/>
                <w:kern w:val="0"/>
                <w:sz w:val="21"/>
                <w:szCs w:val="21"/>
                <w:highlight w:val="none"/>
              </w:rPr>
            </w:pPr>
            <w:r>
              <w:rPr>
                <w:rFonts w:hint="eastAsia" w:cs="仿宋_GB2312" w:asciiTheme="majorEastAsia" w:hAnsiTheme="majorEastAsia" w:eastAsiaTheme="majorEastAsia"/>
                <w:kern w:val="0"/>
                <w:sz w:val="21"/>
                <w:szCs w:val="21"/>
                <w:highlight w:val="none"/>
              </w:rPr>
              <w:t>监督员签章</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cs="仿宋_GB2312" w:asciiTheme="majorEastAsia" w:hAnsiTheme="majorEastAsia" w:eastAsiaTheme="majorEastAsia"/>
                <w:kern w:val="0"/>
                <w:sz w:val="21"/>
                <w:szCs w:val="21"/>
                <w:highlight w:val="none"/>
              </w:rPr>
            </w:pPr>
          </w:p>
        </w:tc>
      </w:tr>
    </w:tbl>
    <w:p>
      <w:pPr>
        <w:autoSpaceDE w:val="0"/>
        <w:autoSpaceDN w:val="0"/>
        <w:adjustRightInd w:val="0"/>
        <w:spacing w:line="400" w:lineRule="exact"/>
        <w:jc w:val="left"/>
        <w:rPr>
          <w:rFonts w:ascii="_x000B__x000C_" w:hAnsi="_x000B__x000C_"/>
          <w:kern w:val="0"/>
          <w:szCs w:val="21"/>
          <w:highlight w:val="none"/>
        </w:rPr>
      </w:pPr>
    </w:p>
    <w:p>
      <w:pPr>
        <w:keepNext/>
        <w:keepLines/>
        <w:adjustRightInd w:val="0"/>
        <w:snapToGrid w:val="0"/>
        <w:spacing w:before="120" w:beforeLines="50" w:after="120" w:afterLines="50" w:line="600" w:lineRule="exact"/>
        <w:outlineLvl w:val="1"/>
        <w:rPr>
          <w:rFonts w:ascii="仿宋_GB2312" w:hAnsi="宋体" w:eastAsia="仿宋_GB2312"/>
          <w:b/>
          <w:bCs/>
          <w:sz w:val="32"/>
          <w:szCs w:val="32"/>
          <w:highlight w:val="none"/>
        </w:rPr>
      </w:pPr>
      <w:r>
        <w:rPr>
          <w:rFonts w:ascii="_x000B__x000C_" w:hAnsi="_x000B__x000C_"/>
          <w:b/>
          <w:bCs/>
          <w:kern w:val="0"/>
          <w:sz w:val="32"/>
          <w:szCs w:val="21"/>
          <w:highlight w:val="none"/>
        </w:rPr>
        <w:br w:type="page"/>
      </w:r>
      <w:bookmarkStart w:id="622" w:name="_Toc369688329"/>
      <w:r>
        <w:rPr>
          <w:rFonts w:hint="eastAsia" w:ascii="仿宋_GB2312" w:hAnsi="宋体" w:eastAsia="仿宋_GB2312"/>
          <w:sz w:val="28"/>
          <w:szCs w:val="28"/>
          <w:highlight w:val="none"/>
        </w:rPr>
        <w:t>附件</w:t>
      </w:r>
      <w:r>
        <w:rPr>
          <w:rFonts w:hint="eastAsia" w:ascii="仿宋_GB2312" w:hAnsi="宋体" w:eastAsia="仿宋_GB2312"/>
          <w:sz w:val="28"/>
          <w:szCs w:val="28"/>
          <w:highlight w:val="none"/>
          <w:lang w:val="en-US" w:eastAsia="zh-CN"/>
        </w:rPr>
        <w:t>二</w:t>
      </w:r>
      <w:r>
        <w:rPr>
          <w:rFonts w:hint="eastAsia" w:ascii="仿宋_GB2312" w:hAnsi="宋体" w:eastAsia="仿宋_GB2312"/>
          <w:sz w:val="28"/>
          <w:szCs w:val="28"/>
          <w:highlight w:val="none"/>
        </w:rPr>
        <w:t>： 询标回复函</w:t>
      </w:r>
      <w:bookmarkEnd w:id="622"/>
    </w:p>
    <w:tbl>
      <w:tblPr>
        <w:tblStyle w:val="29"/>
        <w:tblW w:w="9089" w:type="dxa"/>
        <w:tblInd w:w="93" w:type="dxa"/>
        <w:tblLayout w:type="fixed"/>
        <w:tblCellMar>
          <w:top w:w="0" w:type="dxa"/>
          <w:left w:w="108" w:type="dxa"/>
          <w:bottom w:w="0" w:type="dxa"/>
          <w:right w:w="108" w:type="dxa"/>
        </w:tblCellMar>
      </w:tblPr>
      <w:tblGrid>
        <w:gridCol w:w="1291"/>
        <w:gridCol w:w="1832"/>
        <w:gridCol w:w="1041"/>
        <w:gridCol w:w="1041"/>
        <w:gridCol w:w="1041"/>
        <w:gridCol w:w="2843"/>
      </w:tblGrid>
      <w:tr>
        <w:tblPrEx>
          <w:tblCellMar>
            <w:top w:w="0" w:type="dxa"/>
            <w:left w:w="108" w:type="dxa"/>
            <w:bottom w:w="0" w:type="dxa"/>
            <w:right w:w="108" w:type="dxa"/>
          </w:tblCellMar>
        </w:tblPrEx>
        <w:trPr>
          <w:trHeight w:val="690" w:hRule="atLeast"/>
        </w:trPr>
        <w:tc>
          <w:tcPr>
            <w:tcW w:w="9089" w:type="dxa"/>
            <w:gridSpan w:val="6"/>
            <w:tcBorders>
              <w:top w:val="nil"/>
              <w:left w:val="nil"/>
              <w:bottom w:val="nil"/>
              <w:right w:val="nil"/>
            </w:tcBorders>
            <w:noWrap/>
            <w:vAlign w:val="center"/>
          </w:tcPr>
          <w:p>
            <w:pPr>
              <w:widowControl/>
              <w:jc w:val="center"/>
              <w:rPr>
                <w:rFonts w:ascii="黑体" w:hAnsi="黑体" w:eastAsia="黑体" w:cs="宋体"/>
                <w:b/>
                <w:bCs/>
                <w:kern w:val="0"/>
                <w:sz w:val="44"/>
                <w:szCs w:val="44"/>
                <w:highlight w:val="none"/>
              </w:rPr>
            </w:pPr>
            <w:r>
              <w:rPr>
                <w:rFonts w:hint="eastAsia" w:ascii="黑体" w:hAnsi="黑体" w:eastAsia="黑体" w:cs="宋体"/>
                <w:kern w:val="0"/>
                <w:sz w:val="44"/>
                <w:szCs w:val="44"/>
                <w:highlight w:val="none"/>
              </w:rPr>
              <w:t>询标回复函</w:t>
            </w:r>
          </w:p>
          <w:p>
            <w:pPr>
              <w:widowControl/>
              <w:rPr>
                <w:rFonts w:cs="Arial" w:asciiTheme="minorEastAsia" w:hAnsiTheme="minorEastAsia" w:eastAsiaTheme="minorEastAsia"/>
                <w:kern w:val="0"/>
                <w:szCs w:val="21"/>
                <w:highlight w:val="none"/>
              </w:rPr>
            </w:pPr>
            <w:r>
              <w:rPr>
                <w:rFonts w:hint="eastAsia" w:asciiTheme="minorEastAsia" w:hAnsiTheme="minorEastAsia" w:eastAsiaTheme="minorEastAsia"/>
                <w:kern w:val="0"/>
                <w:szCs w:val="21"/>
                <w:highlight w:val="none"/>
              </w:rPr>
              <w:t>项目（标段）名称：</w:t>
            </w:r>
            <w:r>
              <w:rPr>
                <w:rFonts w:asciiTheme="minorEastAsia" w:hAnsiTheme="minorEastAsia" w:eastAsiaTheme="minorEastAsia"/>
                <w:kern w:val="0"/>
                <w:szCs w:val="21"/>
                <w:highlight w:val="none"/>
              </w:rPr>
              <w:t xml:space="preserve">                       </w:t>
            </w:r>
            <w:r>
              <w:rPr>
                <w:rFonts w:hint="eastAsia" w:asciiTheme="minorEastAsia" w:hAnsiTheme="minorEastAsia" w:eastAsiaTheme="minorEastAsia"/>
                <w:kern w:val="0"/>
                <w:szCs w:val="21"/>
                <w:highlight w:val="none"/>
              </w:rPr>
              <w:t>项目</w:t>
            </w:r>
            <w:r>
              <w:rPr>
                <w:rFonts w:hint="eastAsia" w:cs="Arial" w:asciiTheme="minorEastAsia" w:hAnsiTheme="minorEastAsia" w:eastAsiaTheme="minorEastAsia"/>
                <w:kern w:val="0"/>
                <w:szCs w:val="21"/>
                <w:highlight w:val="none"/>
              </w:rPr>
              <w:t>（</w:t>
            </w:r>
            <w:r>
              <w:rPr>
                <w:rFonts w:hint="eastAsia" w:asciiTheme="minorEastAsia" w:hAnsiTheme="minorEastAsia" w:eastAsiaTheme="minorEastAsia"/>
                <w:kern w:val="0"/>
                <w:szCs w:val="21"/>
                <w:highlight w:val="none"/>
              </w:rPr>
              <w:t>标段）编号：</w:t>
            </w:r>
          </w:p>
          <w:p>
            <w:pPr>
              <w:widowControl/>
              <w:rPr>
                <w:rFonts w:cs="Arial" w:asciiTheme="minorEastAsia" w:hAnsiTheme="minorEastAsia" w:eastAsiaTheme="minorEastAsia"/>
                <w:kern w:val="0"/>
                <w:szCs w:val="21"/>
                <w:highlight w:val="none"/>
              </w:rPr>
            </w:pPr>
          </w:p>
          <w:p>
            <w:pPr>
              <w:widowControl/>
              <w:rPr>
                <w:rFonts w:ascii="黑体" w:hAnsi="黑体" w:eastAsia="黑体" w:cs="宋体"/>
                <w:b/>
                <w:bCs/>
                <w:kern w:val="0"/>
                <w:sz w:val="48"/>
                <w:szCs w:val="48"/>
                <w:highlight w:val="none"/>
              </w:rPr>
            </w:pPr>
            <w:r>
              <w:rPr>
                <w:rFonts w:hint="eastAsia" w:cs="Arial" w:asciiTheme="minorEastAsia" w:hAnsiTheme="minorEastAsia" w:eastAsiaTheme="minorEastAsia"/>
                <w:kern w:val="0"/>
                <w:szCs w:val="21"/>
                <w:highlight w:val="none"/>
              </w:rPr>
              <w:t>日期：</w:t>
            </w:r>
            <w:r>
              <w:rPr>
                <w:rFonts w:cs="Arial" w:asciiTheme="minorEastAsia" w:hAnsiTheme="minorEastAsia" w:eastAsiaTheme="minorEastAsia"/>
                <w:kern w:val="0"/>
                <w:szCs w:val="21"/>
                <w:highlight w:val="none"/>
                <w:u w:val="single"/>
              </w:rPr>
              <w:t xml:space="preserve">     </w:t>
            </w:r>
            <w:r>
              <w:rPr>
                <w:rFonts w:hint="eastAsia" w:cs="Arial" w:asciiTheme="minorEastAsia" w:hAnsiTheme="minorEastAsia" w:eastAsiaTheme="minorEastAsia"/>
                <w:kern w:val="0"/>
                <w:szCs w:val="21"/>
                <w:highlight w:val="none"/>
              </w:rPr>
              <w:t>年</w:t>
            </w:r>
            <w:r>
              <w:rPr>
                <w:rFonts w:cs="Arial" w:asciiTheme="minorEastAsia" w:hAnsiTheme="minorEastAsia" w:eastAsiaTheme="minorEastAsia"/>
                <w:kern w:val="0"/>
                <w:szCs w:val="21"/>
                <w:highlight w:val="none"/>
                <w:u w:val="single"/>
              </w:rPr>
              <w:t xml:space="preserve">    </w:t>
            </w:r>
            <w:r>
              <w:rPr>
                <w:rFonts w:hint="eastAsia" w:cs="Arial" w:asciiTheme="minorEastAsia" w:hAnsiTheme="minorEastAsia" w:eastAsiaTheme="minorEastAsia"/>
                <w:kern w:val="0"/>
                <w:szCs w:val="21"/>
                <w:highlight w:val="none"/>
              </w:rPr>
              <w:t>月</w:t>
            </w:r>
            <w:r>
              <w:rPr>
                <w:rFonts w:cs="Arial" w:asciiTheme="minorEastAsia" w:hAnsiTheme="minorEastAsia" w:eastAsiaTheme="minorEastAsia"/>
                <w:kern w:val="0"/>
                <w:szCs w:val="21"/>
                <w:highlight w:val="none"/>
                <w:u w:val="single"/>
              </w:rPr>
              <w:t xml:space="preserve">    </w:t>
            </w:r>
            <w:r>
              <w:rPr>
                <w:rFonts w:hint="eastAsia" w:cs="Arial" w:asciiTheme="minorEastAsia" w:hAnsiTheme="minorEastAsia" w:eastAsiaTheme="minorEastAsia"/>
                <w:kern w:val="0"/>
                <w:szCs w:val="21"/>
                <w:highlight w:val="none"/>
              </w:rPr>
              <w:t>日</w:t>
            </w:r>
          </w:p>
        </w:tc>
      </w:tr>
      <w:tr>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pPr>
              <w:widowControl/>
              <w:jc w:val="center"/>
              <w:rPr>
                <w:rFonts w:cs="宋体" w:asciiTheme="minorEastAsia" w:hAnsiTheme="minorEastAsia" w:eastAsiaTheme="minorEastAsia"/>
                <w:kern w:val="0"/>
                <w:sz w:val="21"/>
                <w:szCs w:val="21"/>
                <w:highlight w:val="none"/>
              </w:rPr>
            </w:pPr>
            <w:r>
              <w:rPr>
                <w:rFonts w:hint="eastAsia" w:cs="宋体" w:asciiTheme="minorEastAsia" w:hAnsiTheme="minorEastAsia" w:eastAsiaTheme="minorEastAsia"/>
                <w:kern w:val="0"/>
                <w:sz w:val="21"/>
                <w:szCs w:val="21"/>
                <w:highlight w:val="none"/>
              </w:rPr>
              <w:t>询</w:t>
            </w:r>
            <w:r>
              <w:rPr>
                <w:rFonts w:cs="宋体" w:asciiTheme="minorEastAsia" w:hAnsiTheme="minorEastAsia" w:eastAsiaTheme="minorEastAsia"/>
                <w:kern w:val="0"/>
                <w:sz w:val="21"/>
                <w:szCs w:val="21"/>
                <w:highlight w:val="none"/>
              </w:rPr>
              <w:t xml:space="preserve"> 标 内 容</w:t>
            </w:r>
          </w:p>
        </w:tc>
        <w:tc>
          <w:tcPr>
            <w:tcW w:w="7798" w:type="dxa"/>
            <w:gridSpan w:val="5"/>
            <w:tcBorders>
              <w:top w:val="single" w:color="auto" w:sz="4" w:space="0"/>
              <w:left w:val="nil"/>
              <w:bottom w:val="nil"/>
              <w:right w:val="single" w:color="000000" w:sz="4" w:space="0"/>
            </w:tcBorders>
          </w:tcPr>
          <w:p>
            <w:pPr>
              <w:widowControl/>
              <w:jc w:val="left"/>
              <w:rPr>
                <w:rFonts w:cs="宋体" w:asciiTheme="minorEastAsia" w:hAnsiTheme="minorEastAsia" w:eastAsiaTheme="minorEastAsia"/>
                <w:kern w:val="0"/>
                <w:sz w:val="21"/>
                <w:szCs w:val="21"/>
                <w:highlight w:val="none"/>
              </w:rPr>
            </w:pPr>
            <w:r>
              <w:rPr>
                <w:rFonts w:hint="eastAsia" w:cs="宋体" w:asciiTheme="minorEastAsia" w:hAnsiTheme="minorEastAsia" w:eastAsiaTheme="minorEastAsia"/>
                <w:kern w:val="0"/>
                <w:sz w:val="21"/>
                <w:szCs w:val="21"/>
                <w:highlight w:val="none"/>
              </w:rPr>
              <w:t>单位名称：</w:t>
            </w:r>
            <w:r>
              <w:rPr>
                <w:rFonts w:cs="宋体" w:asciiTheme="minorEastAsia" w:hAnsiTheme="minorEastAsia" w:eastAsiaTheme="minorEastAsia"/>
                <w:kern w:val="0"/>
                <w:sz w:val="21"/>
                <w:szCs w:val="21"/>
                <w:highlight w:val="none"/>
              </w:rPr>
              <w:br w:type="textWrapping"/>
            </w:r>
            <w:r>
              <w:rPr>
                <w:rFonts w:cs="宋体" w:asciiTheme="minorEastAsia" w:hAnsiTheme="minorEastAsia" w:eastAsiaTheme="minorEastAsia"/>
                <w:kern w:val="0"/>
                <w:sz w:val="21"/>
                <w:szCs w:val="21"/>
                <w:highlight w:val="none"/>
              </w:rPr>
              <w:br w:type="textWrapping"/>
            </w:r>
            <w:r>
              <w:rPr>
                <w:rFonts w:hint="eastAsia" w:cs="宋体" w:asciiTheme="minorEastAsia" w:hAnsiTheme="minorEastAsia" w:eastAsiaTheme="minorEastAsia"/>
                <w:kern w:val="0"/>
                <w:sz w:val="21"/>
                <w:szCs w:val="21"/>
                <w:highlight w:val="none"/>
              </w:rPr>
              <w:t>询标内容：</w:t>
            </w:r>
          </w:p>
        </w:tc>
      </w:tr>
      <w:tr>
        <w:tblPrEx>
          <w:tblCellMar>
            <w:top w:w="0" w:type="dxa"/>
            <w:left w:w="108" w:type="dxa"/>
            <w:bottom w:w="0" w:type="dxa"/>
            <w:right w:w="108" w:type="dxa"/>
          </w:tblCellMar>
        </w:tblPrEx>
        <w:trPr>
          <w:trHeight w:val="2413" w:hRule="atLeast"/>
        </w:trPr>
        <w:tc>
          <w:tcPr>
            <w:tcW w:w="1291" w:type="dxa"/>
            <w:vMerge w:val="restart"/>
            <w:tcBorders>
              <w:top w:val="single" w:color="auto" w:sz="4" w:space="0"/>
              <w:left w:val="single" w:color="auto" w:sz="4" w:space="0"/>
              <w:bottom w:val="single" w:color="auto" w:sz="4" w:space="0"/>
              <w:right w:val="nil"/>
            </w:tcBorders>
            <w:vAlign w:val="center"/>
          </w:tcPr>
          <w:p>
            <w:pPr>
              <w:widowControl/>
              <w:jc w:val="center"/>
              <w:rPr>
                <w:rFonts w:cs="宋体" w:asciiTheme="minorEastAsia" w:hAnsiTheme="minorEastAsia" w:eastAsiaTheme="minorEastAsia"/>
                <w:kern w:val="0"/>
                <w:sz w:val="21"/>
                <w:szCs w:val="21"/>
                <w:highlight w:val="none"/>
              </w:rPr>
            </w:pPr>
            <w:r>
              <w:rPr>
                <w:rFonts w:hint="eastAsia" w:cs="宋体" w:asciiTheme="minorEastAsia" w:hAnsiTheme="minorEastAsia" w:eastAsiaTheme="minorEastAsia"/>
                <w:kern w:val="0"/>
                <w:sz w:val="21"/>
                <w:szCs w:val="21"/>
                <w:highlight w:val="none"/>
              </w:rPr>
              <w:t>投标人说明并盖电子章</w:t>
            </w:r>
          </w:p>
        </w:tc>
        <w:tc>
          <w:tcPr>
            <w:tcW w:w="7798" w:type="dxa"/>
            <w:gridSpan w:val="5"/>
            <w:tcBorders>
              <w:top w:val="single" w:color="auto" w:sz="4" w:space="0"/>
              <w:left w:val="single" w:color="auto" w:sz="4" w:space="0"/>
              <w:bottom w:val="nil"/>
              <w:right w:val="single" w:color="000000" w:sz="4" w:space="0"/>
            </w:tcBorders>
            <w:noWrap/>
            <w:vAlign w:val="center"/>
          </w:tcPr>
          <w:p>
            <w:pPr>
              <w:widowControl/>
              <w:jc w:val="center"/>
              <w:rPr>
                <w:rFonts w:cs="宋体" w:asciiTheme="minorEastAsia" w:hAnsiTheme="minorEastAsia" w:eastAsiaTheme="minorEastAsia"/>
                <w:kern w:val="0"/>
                <w:sz w:val="21"/>
                <w:szCs w:val="21"/>
                <w:highlight w:val="none"/>
              </w:rPr>
            </w:pPr>
            <w:r>
              <w:rPr>
                <w:rFonts w:hint="eastAsia" w:cs="宋体" w:asciiTheme="minorEastAsia" w:hAnsiTheme="minorEastAsia" w:eastAsiaTheme="minorEastAsia"/>
                <w:kern w:val="0"/>
                <w:sz w:val="21"/>
                <w:szCs w:val="21"/>
                <w:highlight w:val="none"/>
              </w:rPr>
              <w:t>　</w:t>
            </w:r>
          </w:p>
        </w:tc>
      </w:tr>
      <w:tr>
        <w:tblPrEx>
          <w:tblCellMar>
            <w:top w:w="0" w:type="dxa"/>
            <w:left w:w="108" w:type="dxa"/>
            <w:bottom w:w="0" w:type="dxa"/>
            <w:right w:w="108" w:type="dxa"/>
          </w:tblCellMar>
        </w:tblPrEx>
        <w:trPr>
          <w:trHeight w:val="615" w:hRule="atLeast"/>
        </w:trPr>
        <w:tc>
          <w:tcPr>
            <w:tcW w:w="1291" w:type="dxa"/>
            <w:vMerge w:val="continue"/>
            <w:tcBorders>
              <w:top w:val="single" w:color="auto" w:sz="4" w:space="0"/>
              <w:left w:val="single" w:color="auto" w:sz="4" w:space="0"/>
              <w:bottom w:val="single" w:color="auto" w:sz="4" w:space="0"/>
              <w:right w:val="nil"/>
            </w:tcBorders>
            <w:vAlign w:val="center"/>
          </w:tcPr>
          <w:p>
            <w:pPr>
              <w:widowControl/>
              <w:jc w:val="left"/>
              <w:rPr>
                <w:rFonts w:cs="宋体" w:asciiTheme="minorEastAsia" w:hAnsiTheme="minorEastAsia" w:eastAsiaTheme="minorEastAsia"/>
                <w:kern w:val="0"/>
                <w:sz w:val="21"/>
                <w:szCs w:val="21"/>
                <w:highlight w:val="none"/>
              </w:rPr>
            </w:pPr>
          </w:p>
        </w:tc>
        <w:tc>
          <w:tcPr>
            <w:tcW w:w="1832" w:type="dxa"/>
            <w:tcBorders>
              <w:top w:val="nil"/>
              <w:left w:val="single" w:color="auto" w:sz="4" w:space="0"/>
              <w:bottom w:val="nil"/>
              <w:right w:val="nil"/>
            </w:tcBorders>
            <w:noWrap/>
            <w:vAlign w:val="center"/>
          </w:tcPr>
          <w:p>
            <w:pPr>
              <w:widowControl/>
              <w:jc w:val="left"/>
              <w:rPr>
                <w:rFonts w:cs="宋体" w:asciiTheme="minorEastAsia" w:hAnsiTheme="minorEastAsia" w:eastAsiaTheme="minorEastAsia"/>
                <w:kern w:val="0"/>
                <w:sz w:val="21"/>
                <w:szCs w:val="21"/>
                <w:highlight w:val="none"/>
              </w:rPr>
            </w:pPr>
            <w:r>
              <w:rPr>
                <w:rFonts w:hint="eastAsia" w:cs="宋体" w:asciiTheme="minorEastAsia" w:hAnsiTheme="minorEastAsia" w:eastAsiaTheme="minorEastAsia"/>
                <w:kern w:val="0"/>
                <w:sz w:val="21"/>
                <w:szCs w:val="21"/>
                <w:highlight w:val="none"/>
              </w:rPr>
              <w:t>投标单位：</w:t>
            </w:r>
          </w:p>
        </w:tc>
        <w:tc>
          <w:tcPr>
            <w:tcW w:w="1041" w:type="dxa"/>
            <w:tcBorders>
              <w:top w:val="nil"/>
              <w:left w:val="nil"/>
              <w:bottom w:val="nil"/>
              <w:right w:val="nil"/>
            </w:tcBorders>
            <w:noWrap/>
            <w:vAlign w:val="center"/>
          </w:tcPr>
          <w:p>
            <w:pPr>
              <w:widowControl/>
              <w:jc w:val="left"/>
              <w:rPr>
                <w:rFonts w:cs="宋体" w:asciiTheme="minorEastAsia" w:hAnsiTheme="minorEastAsia" w:eastAsiaTheme="minorEastAsia"/>
                <w:kern w:val="0"/>
                <w:sz w:val="21"/>
                <w:szCs w:val="21"/>
                <w:highlight w:val="none"/>
              </w:rPr>
            </w:pPr>
          </w:p>
        </w:tc>
        <w:tc>
          <w:tcPr>
            <w:tcW w:w="1041" w:type="dxa"/>
            <w:tcBorders>
              <w:top w:val="nil"/>
              <w:left w:val="nil"/>
              <w:bottom w:val="nil"/>
              <w:right w:val="nil"/>
            </w:tcBorders>
            <w:noWrap/>
            <w:vAlign w:val="center"/>
          </w:tcPr>
          <w:p>
            <w:pPr>
              <w:widowControl/>
              <w:jc w:val="left"/>
              <w:rPr>
                <w:rFonts w:cs="宋体" w:asciiTheme="minorEastAsia" w:hAnsiTheme="minorEastAsia" w:eastAsiaTheme="minorEastAsia"/>
                <w:kern w:val="0"/>
                <w:sz w:val="21"/>
                <w:szCs w:val="21"/>
                <w:highlight w:val="none"/>
              </w:rPr>
            </w:pPr>
          </w:p>
        </w:tc>
        <w:tc>
          <w:tcPr>
            <w:tcW w:w="1041" w:type="dxa"/>
            <w:tcBorders>
              <w:top w:val="nil"/>
              <w:left w:val="nil"/>
              <w:bottom w:val="nil"/>
              <w:right w:val="nil"/>
            </w:tcBorders>
            <w:noWrap/>
            <w:vAlign w:val="center"/>
          </w:tcPr>
          <w:p>
            <w:pPr>
              <w:widowControl/>
              <w:jc w:val="left"/>
              <w:rPr>
                <w:rFonts w:cs="宋体" w:asciiTheme="minorEastAsia" w:hAnsiTheme="minorEastAsia" w:eastAsiaTheme="minorEastAsia"/>
                <w:kern w:val="0"/>
                <w:sz w:val="21"/>
                <w:szCs w:val="21"/>
                <w:highlight w:val="none"/>
              </w:rPr>
            </w:pPr>
          </w:p>
        </w:tc>
        <w:tc>
          <w:tcPr>
            <w:tcW w:w="2843" w:type="dxa"/>
            <w:vMerge w:val="restart"/>
            <w:tcBorders>
              <w:top w:val="nil"/>
              <w:left w:val="nil"/>
              <w:right w:val="single" w:color="auto" w:sz="4" w:space="0"/>
            </w:tcBorders>
            <w:noWrap/>
            <w:vAlign w:val="center"/>
          </w:tcPr>
          <w:p>
            <w:pPr>
              <w:widowControl/>
              <w:jc w:val="left"/>
              <w:rPr>
                <w:rFonts w:cs="宋体" w:asciiTheme="minorEastAsia" w:hAnsiTheme="minorEastAsia" w:eastAsiaTheme="minorEastAsia"/>
                <w:kern w:val="0"/>
                <w:sz w:val="21"/>
                <w:szCs w:val="21"/>
                <w:highlight w:val="none"/>
              </w:rPr>
            </w:pPr>
            <w:r>
              <w:rPr>
                <w:rFonts w:hint="eastAsia" w:asciiTheme="minorEastAsia" w:hAnsiTheme="minorEastAsia" w:eastAsiaTheme="minorEastAsia"/>
                <w:snapToGrid w:val="0"/>
                <w:kern w:val="0"/>
                <w:sz w:val="21"/>
                <w:szCs w:val="21"/>
                <w:highlight w:val="none"/>
                <w:shd w:val="clear" w:color="auto" w:fill="FFFFFF"/>
              </w:rPr>
              <w:t>加盖投标人单位电子印章或法定代表人的个人电子印章</w:t>
            </w:r>
            <w:r>
              <w:rPr>
                <w:rFonts w:asciiTheme="minorEastAsia" w:hAnsiTheme="minorEastAsia" w:eastAsiaTheme="minorEastAsia"/>
                <w:snapToGrid w:val="0"/>
                <w:kern w:val="0"/>
                <w:sz w:val="21"/>
                <w:szCs w:val="21"/>
                <w:highlight w:val="none"/>
                <w:shd w:val="clear" w:color="auto" w:fill="FFFFFF"/>
              </w:rPr>
              <w:t>/电子签名章</w:t>
            </w:r>
            <w:r>
              <w:rPr>
                <w:rFonts w:hint="eastAsia" w:cs="宋体" w:asciiTheme="minorEastAsia" w:hAnsiTheme="minorEastAsia" w:eastAsiaTheme="minorEastAsia"/>
                <w:kern w:val="0"/>
                <w:sz w:val="21"/>
                <w:szCs w:val="21"/>
                <w:highlight w:val="none"/>
              </w:rPr>
              <w:t>　</w:t>
            </w:r>
          </w:p>
        </w:tc>
      </w:tr>
      <w:tr>
        <w:tblPrEx>
          <w:tblCellMar>
            <w:top w:w="0" w:type="dxa"/>
            <w:left w:w="108" w:type="dxa"/>
            <w:bottom w:w="0" w:type="dxa"/>
            <w:right w:w="108" w:type="dxa"/>
          </w:tblCellMar>
        </w:tblPrEx>
        <w:trPr>
          <w:trHeight w:val="2048" w:hRule="atLeast"/>
        </w:trPr>
        <w:tc>
          <w:tcPr>
            <w:tcW w:w="1291" w:type="dxa"/>
            <w:vMerge w:val="continue"/>
            <w:tcBorders>
              <w:top w:val="single" w:color="auto" w:sz="4" w:space="0"/>
              <w:left w:val="single" w:color="auto" w:sz="4" w:space="0"/>
              <w:bottom w:val="single" w:color="auto" w:sz="4" w:space="0"/>
              <w:right w:val="nil"/>
            </w:tcBorders>
            <w:vAlign w:val="center"/>
          </w:tcPr>
          <w:p>
            <w:pPr>
              <w:widowControl/>
              <w:jc w:val="left"/>
              <w:rPr>
                <w:rFonts w:ascii="宋体" w:hAnsi="宋体" w:cs="宋体"/>
                <w:kern w:val="0"/>
                <w:sz w:val="24"/>
                <w:szCs w:val="24"/>
                <w:highlight w:val="none"/>
              </w:rPr>
            </w:pPr>
          </w:p>
        </w:tc>
        <w:tc>
          <w:tcPr>
            <w:tcW w:w="2873" w:type="dxa"/>
            <w:gridSpan w:val="2"/>
            <w:tcBorders>
              <w:top w:val="nil"/>
              <w:left w:val="single" w:color="auto" w:sz="4" w:space="0"/>
              <w:bottom w:val="single" w:color="auto" w:sz="4" w:space="0"/>
              <w:right w:val="nil"/>
            </w:tcBorders>
            <w:noWrap/>
            <w:vAlign w:val="center"/>
          </w:tcPr>
          <w:p>
            <w:pPr>
              <w:widowControl/>
              <w:jc w:val="left"/>
              <w:rPr>
                <w:rFonts w:ascii="宋体" w:hAnsi="宋体" w:cs="宋体"/>
                <w:kern w:val="0"/>
                <w:sz w:val="24"/>
                <w:szCs w:val="24"/>
                <w:highlight w:val="none"/>
              </w:rPr>
            </w:pPr>
          </w:p>
        </w:tc>
        <w:tc>
          <w:tcPr>
            <w:tcW w:w="1041" w:type="dxa"/>
            <w:tcBorders>
              <w:top w:val="nil"/>
              <w:left w:val="nil"/>
              <w:bottom w:val="single" w:color="auto" w:sz="4" w:space="0"/>
              <w:right w:val="nil"/>
            </w:tcBorders>
            <w:noWrap/>
            <w:vAlign w:val="center"/>
          </w:tcPr>
          <w:p>
            <w:pPr>
              <w:widowControl/>
              <w:jc w:val="left"/>
              <w:rPr>
                <w:rFonts w:ascii="宋体" w:hAnsi="宋体" w:cs="宋体"/>
                <w:kern w:val="0"/>
                <w:sz w:val="24"/>
                <w:szCs w:val="24"/>
                <w:highlight w:val="none"/>
              </w:rPr>
            </w:pPr>
          </w:p>
        </w:tc>
        <w:tc>
          <w:tcPr>
            <w:tcW w:w="1041" w:type="dxa"/>
            <w:tcBorders>
              <w:top w:val="nil"/>
              <w:left w:val="nil"/>
              <w:bottom w:val="single" w:color="auto" w:sz="4" w:space="0"/>
              <w:right w:val="nil"/>
            </w:tcBorders>
            <w:noWrap/>
            <w:vAlign w:val="center"/>
          </w:tcPr>
          <w:p>
            <w:pPr>
              <w:widowControl/>
              <w:jc w:val="left"/>
              <w:rPr>
                <w:rFonts w:ascii="宋体" w:hAnsi="宋体" w:cs="宋体"/>
                <w:kern w:val="0"/>
                <w:sz w:val="24"/>
                <w:szCs w:val="24"/>
                <w:highlight w:val="none"/>
              </w:rPr>
            </w:pPr>
          </w:p>
        </w:tc>
        <w:tc>
          <w:tcPr>
            <w:tcW w:w="2843" w:type="dxa"/>
            <w:vMerge w:val="continue"/>
            <w:tcBorders>
              <w:left w:val="nil"/>
              <w:bottom w:val="single" w:color="auto" w:sz="4" w:space="0"/>
              <w:right w:val="single" w:color="auto" w:sz="4" w:space="0"/>
            </w:tcBorders>
            <w:noWrap/>
            <w:vAlign w:val="center"/>
          </w:tcPr>
          <w:p>
            <w:pPr>
              <w:widowControl/>
              <w:jc w:val="left"/>
              <w:rPr>
                <w:rFonts w:ascii="宋体" w:hAnsi="宋体" w:cs="宋体"/>
                <w:kern w:val="0"/>
                <w:sz w:val="24"/>
                <w:szCs w:val="24"/>
                <w:highlight w:val="none"/>
              </w:rPr>
            </w:pPr>
          </w:p>
        </w:tc>
      </w:tr>
    </w:tbl>
    <w:p>
      <w:pPr>
        <w:autoSpaceDE w:val="0"/>
        <w:autoSpaceDN w:val="0"/>
        <w:adjustRightInd w:val="0"/>
        <w:spacing w:line="400" w:lineRule="exact"/>
        <w:jc w:val="left"/>
        <w:rPr>
          <w:rFonts w:ascii="_x000B__x000C_" w:hAnsi="_x000B__x000C_"/>
          <w:kern w:val="0"/>
          <w:szCs w:val="21"/>
          <w:highlight w:val="none"/>
        </w:rPr>
      </w:pPr>
    </w:p>
    <w:p>
      <w:pPr>
        <w:spacing w:line="400" w:lineRule="exact"/>
        <w:ind w:firstLine="420" w:firstLineChars="200"/>
        <w:rPr>
          <w:rFonts w:ascii="Times New Roman" w:hAnsi="Times New Roman"/>
          <w:color w:val="000000"/>
          <w:highlight w:val="none"/>
        </w:rPr>
      </w:pPr>
    </w:p>
    <w:p>
      <w:pPr>
        <w:spacing w:line="400" w:lineRule="exact"/>
        <w:ind w:firstLine="420" w:firstLineChars="200"/>
        <w:jc w:val="center"/>
        <w:rPr>
          <w:rFonts w:ascii="Times New Roman" w:hAnsi="Times New Roman"/>
          <w:color w:val="000000"/>
          <w:highlight w:val="none"/>
        </w:rPr>
      </w:pPr>
    </w:p>
    <w:p>
      <w:pPr>
        <w:pStyle w:val="2"/>
        <w:jc w:val="center"/>
        <w:rPr>
          <w:color w:val="000000"/>
          <w:highlight w:val="none"/>
        </w:rPr>
      </w:pPr>
      <w:r>
        <w:rPr>
          <w:color w:val="000000"/>
          <w:highlight w:val="none"/>
        </w:rPr>
        <w:br w:type="page"/>
      </w:r>
      <w:bookmarkStart w:id="623" w:name="_Toc1493967772"/>
      <w:bookmarkStart w:id="624" w:name="_Toc79054278"/>
      <w:r>
        <w:rPr>
          <w:color w:val="000000"/>
          <w:highlight w:val="none"/>
        </w:rPr>
        <w:t>第四章合同条款及格式</w:t>
      </w:r>
      <w:bookmarkEnd w:id="623"/>
      <w:bookmarkEnd w:id="624"/>
    </w:p>
    <w:p>
      <w:pPr>
        <w:pStyle w:val="3"/>
        <w:jc w:val="center"/>
        <w:rPr>
          <w:rFonts w:ascii="Times New Roman" w:hAnsi="Times New Roman"/>
          <w:color w:val="000000"/>
          <w:highlight w:val="none"/>
        </w:rPr>
      </w:pPr>
      <w:bookmarkStart w:id="625" w:name="_Toc501460683"/>
      <w:bookmarkStart w:id="626" w:name="_Toc665400620"/>
      <w:r>
        <w:rPr>
          <w:rFonts w:ascii="Times New Roman" w:hAnsi="Times New Roman"/>
          <w:color w:val="000000"/>
          <w:highlight w:val="none"/>
        </w:rPr>
        <w:t>第一节通用合同条款</w:t>
      </w:r>
      <w:bookmarkEnd w:id="625"/>
      <w:bookmarkEnd w:id="626"/>
    </w:p>
    <w:p>
      <w:pPr>
        <w:pStyle w:val="3"/>
        <w:ind w:firstLine="105"/>
        <w:rPr>
          <w:rFonts w:ascii="Times New Roman" w:hAnsi="Times New Roman"/>
          <w:bCs/>
          <w:szCs w:val="32"/>
          <w:highlight w:val="none"/>
        </w:rPr>
      </w:pPr>
      <w:bookmarkStart w:id="627" w:name="_Toc501460684"/>
      <w:bookmarkStart w:id="628" w:name="_Toc1461488646"/>
      <w:r>
        <w:rPr>
          <w:rFonts w:ascii="Times New Roman" w:hAnsi="Times New Roman"/>
          <w:bCs/>
          <w:szCs w:val="32"/>
          <w:highlight w:val="none"/>
        </w:rPr>
        <w:t>1. 一般约定</w:t>
      </w:r>
      <w:bookmarkEnd w:id="627"/>
      <w:bookmarkEnd w:id="628"/>
    </w:p>
    <w:p>
      <w:pPr>
        <w:pStyle w:val="4"/>
        <w:spacing w:line="240" w:lineRule="auto"/>
        <w:ind w:firstLine="137"/>
        <w:rPr>
          <w:rFonts w:ascii="Times New Roman" w:hAnsi="Times New Roman"/>
          <w:color w:val="000000"/>
          <w:highlight w:val="none"/>
        </w:rPr>
      </w:pPr>
      <w:bookmarkStart w:id="629" w:name="_Toc1779444355"/>
      <w:bookmarkStart w:id="630" w:name="_Toc501460685"/>
      <w:r>
        <w:rPr>
          <w:rFonts w:ascii="Times New Roman" w:hAnsi="Times New Roman"/>
          <w:color w:val="000000"/>
          <w:highlight w:val="none"/>
        </w:rPr>
        <w:t xml:space="preserve">1.1 </w:t>
      </w:r>
      <w:r>
        <w:rPr>
          <w:rFonts w:hint="eastAsia" w:ascii="Times New Roman" w:hAnsi="Times New Roman"/>
          <w:color w:val="000000"/>
          <w:highlight w:val="none"/>
        </w:rPr>
        <w:t>词语定义</w:t>
      </w:r>
      <w:bookmarkEnd w:id="629"/>
      <w:bookmarkEnd w:id="630"/>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除专用合同条款另有约定外，合同中的下列词语应具有本款所赋予的含义。</w:t>
      </w:r>
    </w:p>
    <w:p>
      <w:pPr>
        <w:spacing w:line="360" w:lineRule="auto"/>
        <w:ind w:firstLine="421" w:firstLineChars="200"/>
        <w:rPr>
          <w:rFonts w:ascii="Times New Roman" w:hAnsi="Times New Roman"/>
          <w:b/>
          <w:highlight w:val="none"/>
        </w:rPr>
      </w:pPr>
      <w:r>
        <w:rPr>
          <w:rFonts w:ascii="Times New Roman" w:hAnsi="Times New Roman"/>
          <w:b/>
          <w:highlight w:val="none"/>
        </w:rPr>
        <w:t xml:space="preserve">1.1.1 </w:t>
      </w:r>
      <w:r>
        <w:rPr>
          <w:rFonts w:hint="eastAsia" w:ascii="Times New Roman" w:hAnsi="Times New Roman"/>
          <w:b/>
          <w:highlight w:val="none"/>
        </w:rPr>
        <w:t>合同</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1.1.1.1 </w:t>
      </w:r>
      <w:r>
        <w:rPr>
          <w:rFonts w:hint="eastAsia" w:ascii="Times New Roman" w:hAnsi="Times New Roman"/>
          <w:highlight w:val="none"/>
        </w:rPr>
        <w:t>合同文件（或称合同）：指合同协议书、中标通知书、投标函、商务和技术偏差表、专用合同条款、通用合同条款、供货要求、分项报价表、</w:t>
      </w:r>
      <w:r>
        <w:rPr>
          <w:rFonts w:ascii="Times New Roman" w:hAnsi="Times New Roman"/>
          <w:highlight w:val="none"/>
        </w:rPr>
        <w:t>中标材料质量标准的详细描述</w:t>
      </w:r>
      <w:r>
        <w:rPr>
          <w:rFonts w:hint="eastAsia" w:ascii="Times New Roman" w:hAnsi="Times New Roman"/>
          <w:highlight w:val="none"/>
        </w:rPr>
        <w:t>、</w:t>
      </w:r>
      <w:r>
        <w:rPr>
          <w:rFonts w:ascii="Times New Roman" w:hAnsi="Times New Roman"/>
          <w:highlight w:val="none"/>
        </w:rPr>
        <w:t>相关服务计划</w:t>
      </w:r>
      <w:r>
        <w:rPr>
          <w:rFonts w:hint="eastAsia" w:ascii="Times New Roman" w:hAnsi="Times New Roman"/>
          <w:highlight w:val="none"/>
        </w:rPr>
        <w:t>，以及其他构成合同组成部分的文件。</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1.1.1.2 </w:t>
      </w:r>
      <w:r>
        <w:rPr>
          <w:rFonts w:hint="eastAsia" w:ascii="Times New Roman" w:hAnsi="Times New Roman"/>
          <w:highlight w:val="none"/>
        </w:rPr>
        <w:t>合同协议书：指买方和卖方共同签署的合同协议书。</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1.1.1.3 </w:t>
      </w:r>
      <w:r>
        <w:rPr>
          <w:rFonts w:hint="eastAsia" w:ascii="Times New Roman" w:hAnsi="Times New Roman"/>
          <w:highlight w:val="none"/>
        </w:rPr>
        <w:t>中标通知书：指买方通知卖方中标的函件。</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1.1.1.4 </w:t>
      </w:r>
      <w:r>
        <w:rPr>
          <w:rFonts w:hint="eastAsia" w:ascii="Times New Roman" w:hAnsi="Times New Roman"/>
          <w:highlight w:val="none"/>
        </w:rPr>
        <w:t>投标函：指由卖方填写并签署的，名为“投标函”的函件。</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1.1.1.5 </w:t>
      </w:r>
      <w:r>
        <w:rPr>
          <w:rFonts w:hint="eastAsia" w:ascii="Times New Roman" w:hAnsi="Times New Roman"/>
          <w:highlight w:val="none"/>
        </w:rPr>
        <w:t>商务和技术偏差表：指卖方投标文件中的商务和技术偏差表。</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1.1.1.6 </w:t>
      </w:r>
      <w:r>
        <w:rPr>
          <w:rFonts w:hint="eastAsia" w:ascii="Times New Roman" w:hAnsi="Times New Roman"/>
          <w:highlight w:val="none"/>
        </w:rPr>
        <w:t>供货要求：指合同文件中名为“供货要求”的文件。</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1.1.1.7 </w:t>
      </w:r>
      <w:r>
        <w:rPr>
          <w:rFonts w:hint="eastAsia" w:ascii="Times New Roman" w:hAnsi="Times New Roman"/>
          <w:highlight w:val="none"/>
        </w:rPr>
        <w:t>中标材料质量标准的详细描述：指卖方投标文件中的投标材料质量标准的详细描述。</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1.1.1.8 </w:t>
      </w:r>
      <w:r>
        <w:rPr>
          <w:rFonts w:hint="eastAsia" w:ascii="Times New Roman" w:hAnsi="Times New Roman"/>
          <w:highlight w:val="none"/>
        </w:rPr>
        <w:t>相关服务计划：指卖方投标文件中的相关服务计划。</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1.1.1.9 </w:t>
      </w:r>
      <w:r>
        <w:rPr>
          <w:rFonts w:hint="eastAsia" w:ascii="Times New Roman" w:hAnsi="Times New Roman"/>
          <w:highlight w:val="none"/>
        </w:rPr>
        <w:t>分项报价表：指卖方投标文件中的分项报价表。</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1.1.1.10 </w:t>
      </w:r>
      <w:r>
        <w:rPr>
          <w:rFonts w:hint="eastAsia" w:ascii="Times New Roman" w:hAnsi="Times New Roman"/>
          <w:highlight w:val="none"/>
        </w:rPr>
        <w:t>其他合同文件：指经合同双方当事人确认构成合同文件的其他文件。</w:t>
      </w:r>
    </w:p>
    <w:p>
      <w:pPr>
        <w:spacing w:line="360" w:lineRule="auto"/>
        <w:ind w:firstLine="421" w:firstLineChars="200"/>
        <w:rPr>
          <w:rFonts w:ascii="Times New Roman" w:hAnsi="Times New Roman"/>
          <w:b/>
          <w:highlight w:val="none"/>
        </w:rPr>
      </w:pPr>
      <w:r>
        <w:rPr>
          <w:rFonts w:ascii="Times New Roman" w:hAnsi="Times New Roman"/>
          <w:b/>
          <w:highlight w:val="none"/>
        </w:rPr>
        <w:t xml:space="preserve">1.1.2 </w:t>
      </w:r>
      <w:r>
        <w:rPr>
          <w:rFonts w:hint="eastAsia" w:ascii="Times New Roman" w:hAnsi="Times New Roman"/>
          <w:b/>
          <w:highlight w:val="none"/>
        </w:rPr>
        <w:t>合同当事人</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1.1.2.1 </w:t>
      </w:r>
      <w:r>
        <w:rPr>
          <w:rFonts w:hint="eastAsia" w:ascii="Times New Roman" w:hAnsi="Times New Roman"/>
          <w:highlight w:val="none"/>
        </w:rPr>
        <w:t>合同当事人：指买方和（或）卖方。</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1.1.2.2 </w:t>
      </w:r>
      <w:r>
        <w:rPr>
          <w:rFonts w:hint="eastAsia" w:ascii="Times New Roman" w:hAnsi="Times New Roman"/>
          <w:highlight w:val="none"/>
        </w:rPr>
        <w:t>买方：指与卖方签订合同协议书，购买合同材料和相关服务的当事人，及其合法继承人。</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1.1.2.3 </w:t>
      </w:r>
      <w:r>
        <w:rPr>
          <w:rFonts w:hint="eastAsia" w:ascii="Times New Roman" w:hAnsi="Times New Roman"/>
          <w:highlight w:val="none"/>
        </w:rPr>
        <w:t>卖方：指与买方签订合同协议书，提供合同材料和相关服务的当事人，及其合法继承人。</w:t>
      </w:r>
    </w:p>
    <w:p>
      <w:pPr>
        <w:spacing w:line="360" w:lineRule="auto"/>
        <w:ind w:firstLine="421" w:firstLineChars="200"/>
        <w:rPr>
          <w:rFonts w:ascii="Times New Roman" w:hAnsi="Times New Roman"/>
          <w:b/>
          <w:highlight w:val="none"/>
        </w:rPr>
      </w:pPr>
      <w:r>
        <w:rPr>
          <w:rFonts w:ascii="Times New Roman" w:hAnsi="Times New Roman"/>
          <w:b/>
          <w:highlight w:val="none"/>
        </w:rPr>
        <w:t xml:space="preserve">1.1.3 </w:t>
      </w:r>
      <w:r>
        <w:rPr>
          <w:rFonts w:hint="eastAsia" w:ascii="Times New Roman" w:hAnsi="Times New Roman"/>
          <w:b/>
          <w:highlight w:val="none"/>
        </w:rPr>
        <w:t>合同价格</w:t>
      </w:r>
    </w:p>
    <w:p>
      <w:pPr>
        <w:spacing w:line="360" w:lineRule="auto"/>
        <w:ind w:firstLine="420" w:firstLineChars="200"/>
        <w:rPr>
          <w:rFonts w:ascii="Times New Roman" w:hAnsi="Times New Roman"/>
          <w:highlight w:val="none"/>
        </w:rPr>
      </w:pPr>
      <w:r>
        <w:rPr>
          <w:rFonts w:ascii="Times New Roman" w:hAnsi="Times New Roman"/>
          <w:highlight w:val="none"/>
        </w:rPr>
        <w:t>1.1.3.1</w:t>
      </w:r>
      <w:r>
        <w:rPr>
          <w:rFonts w:hint="eastAsia" w:ascii="Times New Roman" w:hAnsi="Times New Roman"/>
          <w:highlight w:val="none"/>
        </w:rPr>
        <w:t xml:space="preserve"> </w:t>
      </w:r>
      <w:r>
        <w:rPr>
          <w:rFonts w:ascii="Times New Roman" w:hAnsi="Times New Roman"/>
          <w:highlight w:val="none"/>
        </w:rPr>
        <w:t>签约合同价：是签订合同时合同协议书中写明的合同总金额。</w:t>
      </w:r>
    </w:p>
    <w:p>
      <w:pPr>
        <w:spacing w:line="360" w:lineRule="auto"/>
        <w:ind w:firstLine="420" w:firstLineChars="200"/>
        <w:rPr>
          <w:rFonts w:ascii="Times New Roman" w:hAnsi="Times New Roman"/>
          <w:highlight w:val="none"/>
        </w:rPr>
      </w:pPr>
      <w:r>
        <w:rPr>
          <w:rFonts w:ascii="Times New Roman" w:hAnsi="Times New Roman"/>
          <w:highlight w:val="none"/>
        </w:rPr>
        <w:t>1.1.3.2</w:t>
      </w:r>
      <w:r>
        <w:rPr>
          <w:rFonts w:hint="eastAsia" w:ascii="Times New Roman" w:hAnsi="Times New Roman"/>
          <w:highlight w:val="none"/>
        </w:rPr>
        <w:t xml:space="preserve"> </w:t>
      </w:r>
      <w:r>
        <w:rPr>
          <w:rFonts w:ascii="Times New Roman" w:hAnsi="Times New Roman"/>
          <w:highlight w:val="none"/>
        </w:rPr>
        <w:t>合同价格：指卖方按合同约定履行了全部合同义务后，买方应付给卖方的金额。</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1.1.4 </w:t>
      </w:r>
      <w:r>
        <w:rPr>
          <w:rFonts w:hint="eastAsia" w:ascii="Times New Roman" w:hAnsi="Times New Roman"/>
          <w:highlight w:val="none"/>
        </w:rPr>
        <w:t>合同材料：指卖方按合同约定应向买方提供的材料及技术资料，或其中任何一部分。</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1.1.5 </w:t>
      </w:r>
      <w:r>
        <w:rPr>
          <w:rFonts w:hint="eastAsia" w:ascii="Times New Roman" w:hAnsi="Times New Roman"/>
          <w:highlight w:val="none"/>
        </w:rPr>
        <w:t>技术资料：指各种纸质及电子载体的与合同材料检验、使用、修补等有关的技术指标、规格、图纸和说明文件。</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1.1.6 </w:t>
      </w:r>
      <w:r>
        <w:rPr>
          <w:rFonts w:hint="eastAsia" w:ascii="Times New Roman" w:hAnsi="Times New Roman"/>
          <w:highlight w:val="none"/>
        </w:rPr>
        <w:t>验收：指合同材料经检验合格后，买方做出接受合同材料的确认。</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1.1.7 </w:t>
      </w:r>
      <w:r>
        <w:rPr>
          <w:rFonts w:hint="eastAsia" w:ascii="Times New Roman" w:hAnsi="Times New Roman"/>
          <w:highlight w:val="none"/>
        </w:rPr>
        <w:t>相关服务：是指在质量保证期届满前卖方提供的与合同材料有关的辅助服务，包括简单加工、解决合同材料存在的质量问题，以及为买方检验、使用和修补合同材料进行的技术指导、培训、协助等。</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1.1.8 </w:t>
      </w:r>
      <w:r>
        <w:rPr>
          <w:rFonts w:hint="eastAsia" w:ascii="Times New Roman" w:hAnsi="Times New Roman"/>
          <w:highlight w:val="none"/>
        </w:rPr>
        <w:t>质量保证期：指合同材料验收后，卖方按合同约定保证合同材料正常使用，并负责解决合同材料存在的任何质量问题的期限。</w:t>
      </w:r>
    </w:p>
    <w:p>
      <w:pPr>
        <w:spacing w:line="360" w:lineRule="auto"/>
        <w:ind w:firstLine="421" w:firstLineChars="200"/>
        <w:rPr>
          <w:rFonts w:ascii="Times New Roman" w:hAnsi="Times New Roman"/>
          <w:b/>
          <w:highlight w:val="none"/>
        </w:rPr>
      </w:pPr>
      <w:r>
        <w:rPr>
          <w:rFonts w:ascii="Times New Roman" w:hAnsi="Times New Roman"/>
          <w:b/>
          <w:highlight w:val="none"/>
        </w:rPr>
        <w:t xml:space="preserve">1.1.9 </w:t>
      </w:r>
      <w:r>
        <w:rPr>
          <w:rFonts w:hint="eastAsia" w:ascii="Times New Roman" w:hAnsi="Times New Roman"/>
          <w:b/>
          <w:highlight w:val="none"/>
        </w:rPr>
        <w:t>工程</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1.1.9.1 </w:t>
      </w:r>
      <w:r>
        <w:rPr>
          <w:rFonts w:hint="eastAsia" w:ascii="Times New Roman" w:hAnsi="Times New Roman"/>
          <w:highlight w:val="none"/>
        </w:rPr>
        <w:t>工程：指在专用合同条款中指明的，使用合同材料的工程。</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1.1.9.2 </w:t>
      </w:r>
      <w:r>
        <w:rPr>
          <w:rFonts w:hint="eastAsia" w:ascii="Times New Roman" w:hAnsi="Times New Roman"/>
          <w:highlight w:val="none"/>
        </w:rPr>
        <w:t>施工场地（或称工地、施工现场）：指专用合同条款中指明的工程所在场所。</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1.1.10 </w:t>
      </w:r>
      <w:r>
        <w:rPr>
          <w:rFonts w:hint="eastAsia" w:ascii="Times New Roman" w:hAnsi="Times New Roman"/>
          <w:highlight w:val="none"/>
        </w:rPr>
        <w:t>天（或称日）：除特别指明外，指日历天。合同中按天计算时间的，开始当天不计入，从次日开始计算。合同约定的期间的最后一天是星期日或者其他法定休假日的，以休假日的次日为期间的最后一天。</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1.1.11 </w:t>
      </w:r>
      <w:r>
        <w:rPr>
          <w:rFonts w:hint="eastAsia" w:ascii="Times New Roman" w:hAnsi="Times New Roman"/>
          <w:highlight w:val="none"/>
        </w:rPr>
        <w:t>月：按照公历月计算。合同中按月计算时间的，开始当天不计入，从次日开始计算。合同约定的期间的最后一天是星期日或者其他法定休假日的，以休假日的次日为期间的最后一天。</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1.1.12 </w:t>
      </w:r>
      <w:r>
        <w:rPr>
          <w:rFonts w:hint="eastAsia" w:ascii="Times New Roman" w:hAnsi="Times New Roman"/>
          <w:highlight w:val="none"/>
        </w:rPr>
        <w:t>书面形式：指合同文件、信件和数据电文（包括电报、电传、传真、电子数据交换和电子邮件）等可以有形地表现所载内容的形式。</w:t>
      </w:r>
    </w:p>
    <w:p>
      <w:pPr>
        <w:spacing w:line="360" w:lineRule="auto"/>
        <w:ind w:firstLine="420" w:firstLineChars="200"/>
        <w:rPr>
          <w:rFonts w:ascii="Times New Roman" w:hAnsi="Times New Roman"/>
          <w:highlight w:val="none"/>
        </w:rPr>
      </w:pPr>
      <w:r>
        <w:rPr>
          <w:rFonts w:ascii="Times New Roman" w:hAnsi="Times New Roman"/>
          <w:highlight w:val="none"/>
        </w:rPr>
        <w:t xml:space="preserve">1.1.13 </w:t>
      </w:r>
      <w:r>
        <w:rPr>
          <w:rFonts w:hint="eastAsia" w:ascii="Times New Roman" w:hAnsi="Times New Roman"/>
          <w:highlight w:val="none"/>
        </w:rPr>
        <w:t>不可抗力：是指任何一方当事人不能预见、不能避免并不能克服的自然灾害和社会性突发事件，如地震、海啸、瘟疫、水灾、骚乱、暴动、战争和专用合同条款约定的其</w:t>
      </w:r>
      <w:r>
        <w:rPr>
          <w:rFonts w:ascii="Times New Roman" w:hAnsi="Times New Roman"/>
          <w:highlight w:val="none"/>
        </w:rPr>
        <w:t>他情形。</w:t>
      </w:r>
    </w:p>
    <w:p>
      <w:pPr>
        <w:pStyle w:val="4"/>
        <w:spacing w:line="240" w:lineRule="auto"/>
        <w:ind w:firstLine="137"/>
        <w:rPr>
          <w:rFonts w:ascii="Times New Roman" w:hAnsi="Times New Roman"/>
          <w:color w:val="000000"/>
          <w:highlight w:val="none"/>
        </w:rPr>
      </w:pPr>
      <w:bookmarkStart w:id="631" w:name="_Toc1631464837"/>
      <w:bookmarkStart w:id="632" w:name="_Toc501460686"/>
      <w:r>
        <w:rPr>
          <w:rFonts w:ascii="Times New Roman" w:hAnsi="Times New Roman"/>
          <w:color w:val="000000"/>
          <w:highlight w:val="none"/>
        </w:rPr>
        <w:t xml:space="preserve">1.2 </w:t>
      </w:r>
      <w:r>
        <w:rPr>
          <w:rFonts w:hint="eastAsia" w:ascii="Times New Roman" w:hAnsi="Times New Roman"/>
          <w:color w:val="000000"/>
          <w:highlight w:val="none"/>
        </w:rPr>
        <w:t>语言文字</w:t>
      </w:r>
      <w:bookmarkEnd w:id="631"/>
      <w:bookmarkEnd w:id="632"/>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合同使用的语言文字为中文。专用术语使用外文的，应附有中文注释。</w:t>
      </w:r>
    </w:p>
    <w:p>
      <w:pPr>
        <w:pStyle w:val="4"/>
        <w:spacing w:line="240" w:lineRule="auto"/>
        <w:ind w:firstLine="137"/>
        <w:rPr>
          <w:rFonts w:ascii="Times New Roman" w:hAnsi="Times New Roman"/>
          <w:color w:val="000000"/>
          <w:highlight w:val="none"/>
        </w:rPr>
      </w:pPr>
      <w:bookmarkStart w:id="633" w:name="_Toc296164685"/>
      <w:bookmarkStart w:id="634" w:name="_Toc501460687"/>
      <w:r>
        <w:rPr>
          <w:rFonts w:ascii="Times New Roman" w:hAnsi="Times New Roman"/>
          <w:color w:val="000000"/>
          <w:highlight w:val="none"/>
        </w:rPr>
        <w:t xml:space="preserve">1.3 </w:t>
      </w:r>
      <w:r>
        <w:rPr>
          <w:rFonts w:hint="eastAsia" w:ascii="Times New Roman" w:hAnsi="Times New Roman"/>
          <w:color w:val="000000"/>
          <w:highlight w:val="none"/>
        </w:rPr>
        <w:t>合同文件的优先顺序</w:t>
      </w:r>
      <w:bookmarkEnd w:id="633"/>
      <w:bookmarkEnd w:id="634"/>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组成合同的各项文件应互相解释，互为说明。除专用合同条款另有约定外，解释合同文件的优先顺序如下：</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（1）合同协议书；</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（2）中标通知书；</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（3）投标函；</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（4）商务和技术偏差表；</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（5）专用合同条款；</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（6）通用合同条款；</w:t>
      </w:r>
    </w:p>
    <w:p>
      <w:pPr>
        <w:spacing w:line="360" w:lineRule="auto"/>
        <w:ind w:firstLine="420" w:firstLineChars="200"/>
        <w:rPr>
          <w:rFonts w:ascii="Times New Roman" w:hAnsi="Times New Roman"/>
          <w:highlight w:val="none"/>
        </w:rPr>
      </w:pPr>
      <w:r>
        <w:rPr>
          <w:rFonts w:ascii="Times New Roman" w:hAnsi="Times New Roman"/>
          <w:szCs w:val="21"/>
          <w:highlight w:val="none"/>
        </w:rPr>
        <w:t>（</w:t>
      </w:r>
      <w:r>
        <w:rPr>
          <w:rFonts w:hint="eastAsia" w:ascii="Times New Roman" w:hAnsi="Times New Roman"/>
          <w:szCs w:val="21"/>
          <w:highlight w:val="none"/>
        </w:rPr>
        <w:t>7</w:t>
      </w:r>
      <w:r>
        <w:rPr>
          <w:rFonts w:ascii="Times New Roman" w:hAnsi="Times New Roman"/>
          <w:szCs w:val="21"/>
          <w:highlight w:val="none"/>
        </w:rPr>
        <w:t>）</w:t>
      </w:r>
      <w:r>
        <w:rPr>
          <w:rFonts w:ascii="Times New Roman" w:hAnsi="Times New Roman"/>
          <w:highlight w:val="none"/>
        </w:rPr>
        <w:t>供货要求；</w:t>
      </w:r>
    </w:p>
    <w:p>
      <w:pPr>
        <w:spacing w:line="360" w:lineRule="auto"/>
        <w:ind w:firstLine="420" w:firstLineChars="200"/>
        <w:rPr>
          <w:rFonts w:ascii="Times New Roman" w:hAnsi="Times New Roman"/>
          <w:highlight w:val="none"/>
        </w:rPr>
      </w:pPr>
      <w:r>
        <w:rPr>
          <w:rFonts w:ascii="Times New Roman" w:hAnsi="Times New Roman"/>
          <w:highlight w:val="none"/>
        </w:rPr>
        <w:t>（</w:t>
      </w:r>
      <w:r>
        <w:rPr>
          <w:rFonts w:hint="eastAsia" w:ascii="Times New Roman" w:hAnsi="Times New Roman"/>
          <w:highlight w:val="none"/>
        </w:rPr>
        <w:t>8</w:t>
      </w:r>
      <w:r>
        <w:rPr>
          <w:rFonts w:ascii="Times New Roman" w:hAnsi="Times New Roman"/>
          <w:highlight w:val="none"/>
        </w:rPr>
        <w:t>）分项报价表；</w:t>
      </w:r>
    </w:p>
    <w:p>
      <w:pPr>
        <w:spacing w:line="360" w:lineRule="auto"/>
        <w:ind w:firstLine="420" w:firstLineChars="200"/>
        <w:rPr>
          <w:rFonts w:ascii="Times New Roman" w:hAnsi="Times New Roman"/>
          <w:highlight w:val="none"/>
        </w:rPr>
      </w:pPr>
      <w:r>
        <w:rPr>
          <w:rFonts w:ascii="Times New Roman" w:hAnsi="Times New Roman"/>
          <w:highlight w:val="none"/>
        </w:rPr>
        <w:t>（</w:t>
      </w:r>
      <w:r>
        <w:rPr>
          <w:rFonts w:hint="eastAsia" w:ascii="Times New Roman" w:hAnsi="Times New Roman"/>
          <w:highlight w:val="none"/>
        </w:rPr>
        <w:t>9</w:t>
      </w:r>
      <w:r>
        <w:rPr>
          <w:rFonts w:ascii="Times New Roman" w:hAnsi="Times New Roman"/>
          <w:highlight w:val="none"/>
        </w:rPr>
        <w:t>）中标材料质量标准的详细描述；</w:t>
      </w:r>
    </w:p>
    <w:p>
      <w:pPr>
        <w:spacing w:line="360" w:lineRule="auto"/>
        <w:ind w:firstLine="420" w:firstLineChars="200"/>
        <w:rPr>
          <w:rFonts w:ascii="Times New Roman" w:hAnsi="Times New Roman"/>
          <w:szCs w:val="21"/>
          <w:highlight w:val="none"/>
        </w:rPr>
      </w:pPr>
      <w:r>
        <w:rPr>
          <w:rFonts w:ascii="Times New Roman" w:hAnsi="Times New Roman"/>
          <w:highlight w:val="none"/>
        </w:rPr>
        <w:t>（</w:t>
      </w:r>
      <w:r>
        <w:rPr>
          <w:rFonts w:hint="eastAsia" w:ascii="Times New Roman" w:hAnsi="Times New Roman"/>
          <w:highlight w:val="none"/>
        </w:rPr>
        <w:t>10</w:t>
      </w:r>
      <w:r>
        <w:rPr>
          <w:rFonts w:ascii="Times New Roman" w:hAnsi="Times New Roman"/>
          <w:highlight w:val="none"/>
        </w:rPr>
        <w:t>）相关服务计划；</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（11）</w:t>
      </w:r>
      <w:r>
        <w:rPr>
          <w:rFonts w:ascii="Times New Roman" w:hAnsi="Times New Roman"/>
          <w:highlight w:val="none"/>
        </w:rPr>
        <w:t>其他合同文件。</w:t>
      </w:r>
    </w:p>
    <w:p>
      <w:pPr>
        <w:pStyle w:val="4"/>
        <w:spacing w:line="240" w:lineRule="auto"/>
        <w:ind w:firstLine="137"/>
        <w:rPr>
          <w:rFonts w:ascii="Times New Roman" w:hAnsi="Times New Roman"/>
          <w:color w:val="000000"/>
          <w:highlight w:val="none"/>
        </w:rPr>
      </w:pPr>
      <w:bookmarkStart w:id="635" w:name="_Toc1015367338"/>
      <w:bookmarkStart w:id="636" w:name="_Toc501460688"/>
      <w:r>
        <w:rPr>
          <w:rFonts w:ascii="Times New Roman" w:hAnsi="Times New Roman"/>
          <w:color w:val="000000"/>
          <w:highlight w:val="none"/>
        </w:rPr>
        <w:t xml:space="preserve">1.4 </w:t>
      </w:r>
      <w:r>
        <w:rPr>
          <w:rFonts w:hint="eastAsia" w:ascii="Times New Roman" w:hAnsi="Times New Roman"/>
          <w:color w:val="000000"/>
          <w:highlight w:val="none"/>
        </w:rPr>
        <w:t>合同的生效及变更</w:t>
      </w:r>
      <w:bookmarkEnd w:id="635"/>
      <w:bookmarkEnd w:id="636"/>
    </w:p>
    <w:p>
      <w:pPr>
        <w:spacing w:line="360" w:lineRule="auto"/>
        <w:ind w:firstLine="420" w:firstLineChars="200"/>
        <w:rPr>
          <w:rFonts w:ascii="Times New Roman" w:hAnsi="Times New Roman"/>
          <w:szCs w:val="21"/>
          <w:highlight w:val="none"/>
        </w:rPr>
      </w:pPr>
      <w:r>
        <w:rPr>
          <w:rFonts w:ascii="Times New Roman" w:hAnsi="Times New Roman"/>
          <w:highlight w:val="none"/>
        </w:rPr>
        <w:t xml:space="preserve">1.4.1 </w:t>
      </w:r>
      <w:r>
        <w:rPr>
          <w:rFonts w:ascii="Times New Roman" w:hAnsi="Times New Roman"/>
          <w:szCs w:val="21"/>
          <w:highlight w:val="none"/>
        </w:rPr>
        <w:t>除专用合同条款另有约定外，买方和卖方的法定代表人（单位负责人）或其授权代表在合同协议书上签字并加</w:t>
      </w:r>
      <w:r>
        <w:rPr>
          <w:rFonts w:ascii="Times New Roman" w:hAnsi="Times New Roman"/>
          <w:color w:val="000000"/>
          <w:highlight w:val="none"/>
        </w:rPr>
        <w:t>盖单位章</w:t>
      </w:r>
      <w:r>
        <w:rPr>
          <w:rFonts w:ascii="Times New Roman" w:hAnsi="Times New Roman"/>
          <w:szCs w:val="21"/>
          <w:highlight w:val="none"/>
        </w:rPr>
        <w:t>后，合同生效。</w:t>
      </w:r>
    </w:p>
    <w:p>
      <w:pPr>
        <w:spacing w:line="360" w:lineRule="auto"/>
        <w:ind w:firstLine="420" w:firstLineChars="200"/>
        <w:rPr>
          <w:rFonts w:ascii="Times New Roman" w:hAnsi="Times New Roman"/>
          <w:szCs w:val="21"/>
          <w:highlight w:val="none"/>
        </w:rPr>
      </w:pPr>
      <w:r>
        <w:rPr>
          <w:rFonts w:ascii="Times New Roman" w:hAnsi="Times New Roman"/>
          <w:highlight w:val="none"/>
        </w:rPr>
        <w:t xml:space="preserve">1.4.2 </w:t>
      </w:r>
      <w:r>
        <w:rPr>
          <w:rFonts w:ascii="Times New Roman" w:hAnsi="Times New Roman"/>
          <w:szCs w:val="21"/>
          <w:highlight w:val="none"/>
        </w:rPr>
        <w:t>除专用合同条款另有约定外，</w:t>
      </w:r>
      <w:r>
        <w:rPr>
          <w:rFonts w:ascii="Times New Roman" w:hAnsi="Times New Roman"/>
          <w:highlight w:val="none"/>
        </w:rPr>
        <w:t>在合同履行过程中，如需对合同进行变更，双方应签订书面协议，并经双方</w:t>
      </w:r>
      <w:r>
        <w:rPr>
          <w:rFonts w:ascii="Times New Roman" w:hAnsi="Times New Roman"/>
          <w:szCs w:val="21"/>
          <w:highlight w:val="none"/>
        </w:rPr>
        <w:t>法定代表人（单位负责人）或其授权代表签字并加</w:t>
      </w:r>
      <w:r>
        <w:rPr>
          <w:rFonts w:ascii="Times New Roman" w:hAnsi="Times New Roman"/>
          <w:color w:val="000000"/>
          <w:highlight w:val="none"/>
        </w:rPr>
        <w:t>盖单位章</w:t>
      </w:r>
      <w:r>
        <w:rPr>
          <w:rFonts w:ascii="Times New Roman" w:hAnsi="Times New Roman"/>
          <w:szCs w:val="21"/>
          <w:highlight w:val="none"/>
        </w:rPr>
        <w:t>后生效。</w:t>
      </w:r>
    </w:p>
    <w:p>
      <w:pPr>
        <w:pStyle w:val="4"/>
        <w:spacing w:line="240" w:lineRule="auto"/>
        <w:ind w:firstLine="137"/>
        <w:rPr>
          <w:rFonts w:ascii="Times New Roman" w:hAnsi="Times New Roman"/>
          <w:color w:val="000000"/>
          <w:highlight w:val="none"/>
        </w:rPr>
      </w:pPr>
      <w:bookmarkStart w:id="637" w:name="_Toc530108304"/>
      <w:bookmarkStart w:id="638" w:name="_Toc501460689"/>
      <w:r>
        <w:rPr>
          <w:rFonts w:ascii="Times New Roman" w:hAnsi="Times New Roman"/>
          <w:color w:val="000000"/>
          <w:highlight w:val="none"/>
        </w:rPr>
        <w:t xml:space="preserve">1.5 </w:t>
      </w:r>
      <w:r>
        <w:rPr>
          <w:rFonts w:hint="eastAsia" w:ascii="Times New Roman" w:hAnsi="Times New Roman"/>
          <w:color w:val="000000"/>
          <w:highlight w:val="none"/>
        </w:rPr>
        <w:t>联络</w:t>
      </w:r>
      <w:bookmarkEnd w:id="637"/>
      <w:bookmarkEnd w:id="638"/>
    </w:p>
    <w:p>
      <w:pPr>
        <w:spacing w:line="360" w:lineRule="auto"/>
        <w:ind w:firstLine="420" w:firstLineChars="200"/>
        <w:rPr>
          <w:rFonts w:ascii="Times New Roman" w:hAnsi="Times New Roman"/>
          <w:highlight w:val="none"/>
        </w:rPr>
      </w:pPr>
      <w:r>
        <w:rPr>
          <w:rFonts w:ascii="Times New Roman" w:hAnsi="Times New Roman"/>
          <w:highlight w:val="none"/>
        </w:rPr>
        <w:t>1.5.1 买卖双方应就合同</w:t>
      </w:r>
      <w:r>
        <w:rPr>
          <w:rFonts w:hint="eastAsia" w:ascii="Times New Roman" w:hAnsi="Times New Roman"/>
          <w:highlight w:val="none"/>
        </w:rPr>
        <w:t>履</w:t>
      </w:r>
      <w:r>
        <w:rPr>
          <w:rFonts w:ascii="Times New Roman" w:hAnsi="Times New Roman"/>
          <w:highlight w:val="none"/>
        </w:rPr>
        <w:t>行中有关的事项及时进行联络，重要事项应通过书面形式进行联络。</w:t>
      </w:r>
    </w:p>
    <w:p>
      <w:pPr>
        <w:spacing w:line="360" w:lineRule="auto"/>
        <w:ind w:firstLine="420" w:firstLineChars="200"/>
        <w:rPr>
          <w:rFonts w:ascii="Times New Roman" w:hAnsi="Times New Roman"/>
          <w:b/>
          <w:bCs/>
          <w:szCs w:val="28"/>
          <w:highlight w:val="none"/>
        </w:rPr>
      </w:pPr>
      <w:r>
        <w:rPr>
          <w:rFonts w:ascii="Times New Roman" w:hAnsi="Times New Roman"/>
          <w:highlight w:val="none"/>
        </w:rPr>
        <w:t>1.5.2 买方可以安排监理等相关人员作为买方人员，与卖方进行联络或参加合同材料的检验和验收等。</w:t>
      </w:r>
    </w:p>
    <w:p>
      <w:pPr>
        <w:pStyle w:val="4"/>
        <w:spacing w:line="240" w:lineRule="auto"/>
        <w:ind w:firstLine="137"/>
        <w:rPr>
          <w:rFonts w:ascii="Times New Roman" w:hAnsi="Times New Roman"/>
          <w:color w:val="000000"/>
          <w:highlight w:val="none"/>
        </w:rPr>
      </w:pPr>
      <w:bookmarkStart w:id="639" w:name="_Toc173187397"/>
      <w:bookmarkStart w:id="640" w:name="_Toc501460690"/>
      <w:r>
        <w:rPr>
          <w:rFonts w:ascii="Times New Roman" w:hAnsi="Times New Roman"/>
          <w:color w:val="000000"/>
          <w:highlight w:val="none"/>
        </w:rPr>
        <w:t xml:space="preserve">1.6 </w:t>
      </w:r>
      <w:r>
        <w:rPr>
          <w:rFonts w:hint="eastAsia" w:ascii="Times New Roman" w:hAnsi="Times New Roman"/>
          <w:color w:val="000000"/>
          <w:highlight w:val="none"/>
        </w:rPr>
        <w:t>联合体</w:t>
      </w:r>
      <w:bookmarkEnd w:id="639"/>
      <w:bookmarkEnd w:id="640"/>
    </w:p>
    <w:p>
      <w:pPr>
        <w:spacing w:line="360" w:lineRule="auto"/>
        <w:ind w:firstLine="420" w:firstLineChars="200"/>
        <w:rPr>
          <w:rFonts w:ascii="Times New Roman" w:hAnsi="Times New Roman"/>
          <w:szCs w:val="21"/>
          <w:highlight w:val="none"/>
        </w:rPr>
      </w:pPr>
      <w:r>
        <w:rPr>
          <w:rFonts w:ascii="Times New Roman" w:hAnsi="Times New Roman"/>
          <w:highlight w:val="none"/>
        </w:rPr>
        <w:t>1.6.1卖方为联合体的，</w:t>
      </w:r>
      <w:r>
        <w:rPr>
          <w:rFonts w:ascii="Times New Roman" w:hAnsi="Times New Roman"/>
          <w:color w:val="000000"/>
          <w:szCs w:val="21"/>
          <w:highlight w:val="none"/>
        </w:rPr>
        <w:t>联合体各方应当共同与买方签订合同，</w:t>
      </w:r>
      <w:r>
        <w:rPr>
          <w:rFonts w:ascii="Times New Roman" w:hAnsi="Times New Roman"/>
          <w:szCs w:val="21"/>
          <w:highlight w:val="none"/>
        </w:rPr>
        <w:t>并向买方为履行合同承担连带责任。</w:t>
      </w:r>
    </w:p>
    <w:p>
      <w:pPr>
        <w:spacing w:line="360" w:lineRule="auto"/>
        <w:ind w:firstLine="420" w:firstLineChars="200"/>
        <w:rPr>
          <w:rFonts w:ascii="Times New Roman" w:hAnsi="Times New Roman"/>
          <w:szCs w:val="21"/>
          <w:highlight w:val="none"/>
        </w:rPr>
      </w:pPr>
      <w:r>
        <w:rPr>
          <w:rFonts w:ascii="Times New Roman" w:hAnsi="Times New Roman"/>
          <w:highlight w:val="none"/>
        </w:rPr>
        <w:t>1.6.2</w:t>
      </w:r>
      <w:r>
        <w:rPr>
          <w:rFonts w:ascii="Times New Roman" w:hAnsi="Times New Roman"/>
          <w:szCs w:val="21"/>
          <w:highlight w:val="none"/>
        </w:rPr>
        <w:t xml:space="preserve"> 在合同履行过程中，未经买方同意，不得修改联合体协议。</w:t>
      </w:r>
      <w:r>
        <w:rPr>
          <w:rFonts w:ascii="Times New Roman" w:hAnsi="Times New Roman"/>
          <w:color w:val="000000"/>
          <w:highlight w:val="none"/>
        </w:rPr>
        <w:t>联合体协议中关于联合体成员间权利义务的划分，并不影响或减损联合体各方应就履行合同向买方承担的连带责任。</w:t>
      </w:r>
    </w:p>
    <w:p>
      <w:pPr>
        <w:spacing w:line="360" w:lineRule="auto"/>
        <w:ind w:firstLine="420" w:firstLineChars="200"/>
        <w:rPr>
          <w:rFonts w:ascii="Times New Roman" w:hAnsi="Times New Roman"/>
          <w:szCs w:val="21"/>
          <w:highlight w:val="none"/>
        </w:rPr>
      </w:pPr>
      <w:r>
        <w:rPr>
          <w:rFonts w:ascii="Times New Roman" w:hAnsi="Times New Roman"/>
          <w:highlight w:val="none"/>
        </w:rPr>
        <w:t xml:space="preserve">1.6.3 </w:t>
      </w:r>
      <w:r>
        <w:rPr>
          <w:rFonts w:ascii="Times New Roman" w:hAnsi="Times New Roman"/>
          <w:szCs w:val="21"/>
          <w:highlight w:val="none"/>
        </w:rPr>
        <w:t>联合体牵头人代表联合体与买方联系，并接受指示，负责组织联合体各成员全面履行合同。除非专用合同条款另有约定，牵头人在履行合同中的所有行为均视为已获得联合体各方的授权。买方可将合同价款全部支付给牵头人并视为其已适当履行了付款义务。如牵头人的行为将构成对合同内容的变更，则牵头人须事先获得联合体各方的特别授权。</w:t>
      </w:r>
    </w:p>
    <w:p>
      <w:pPr>
        <w:pStyle w:val="4"/>
        <w:spacing w:line="240" w:lineRule="auto"/>
        <w:ind w:firstLine="137"/>
        <w:rPr>
          <w:rFonts w:ascii="Times New Roman" w:hAnsi="Times New Roman"/>
          <w:color w:val="000000"/>
          <w:highlight w:val="none"/>
        </w:rPr>
      </w:pPr>
      <w:bookmarkStart w:id="641" w:name="_Toc1442388981"/>
      <w:bookmarkStart w:id="642" w:name="_Toc501460691"/>
      <w:r>
        <w:rPr>
          <w:rFonts w:ascii="Times New Roman" w:hAnsi="Times New Roman"/>
          <w:color w:val="000000"/>
          <w:highlight w:val="none"/>
        </w:rPr>
        <w:t xml:space="preserve">1.7 </w:t>
      </w:r>
      <w:r>
        <w:rPr>
          <w:rFonts w:hint="eastAsia" w:ascii="Times New Roman" w:hAnsi="Times New Roman"/>
          <w:color w:val="000000"/>
          <w:highlight w:val="none"/>
        </w:rPr>
        <w:t>转让</w:t>
      </w:r>
      <w:bookmarkEnd w:id="641"/>
      <w:bookmarkEnd w:id="642"/>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未经对方当事人书面同意，合同任何一方均不得转让其在本合同项下的权利和（或）义务。</w:t>
      </w:r>
    </w:p>
    <w:p>
      <w:pPr>
        <w:pStyle w:val="4"/>
        <w:spacing w:line="240" w:lineRule="auto"/>
        <w:ind w:firstLine="137"/>
        <w:rPr>
          <w:rFonts w:ascii="Times New Roman" w:hAnsi="Times New Roman"/>
          <w:color w:val="000000"/>
          <w:highlight w:val="none"/>
        </w:rPr>
      </w:pPr>
      <w:bookmarkStart w:id="643" w:name="_Toc344970121"/>
      <w:bookmarkStart w:id="644" w:name="_Toc501460692"/>
      <w:r>
        <w:rPr>
          <w:rFonts w:ascii="Times New Roman" w:hAnsi="Times New Roman"/>
          <w:color w:val="000000"/>
          <w:highlight w:val="none"/>
        </w:rPr>
        <w:t xml:space="preserve">1.8 </w:t>
      </w:r>
      <w:r>
        <w:rPr>
          <w:rFonts w:hint="eastAsia" w:ascii="Times New Roman" w:hAnsi="Times New Roman"/>
          <w:color w:val="000000"/>
          <w:highlight w:val="none"/>
        </w:rPr>
        <w:t>知识产权</w:t>
      </w:r>
      <w:bookmarkEnd w:id="643"/>
      <w:bookmarkEnd w:id="644"/>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1.8.1 合同材料或其中的技术资料涉及知识产权的，卖方保证买方免于受到任何知识产权侵权的主张、索赔或诉讼的伤害。</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1.8.2 如果买方收到任何第三方有关知识产权的主张、索赔或诉讼，卖方在收到买方通知后，应以买方名义处理与第三方的索赔或诉讼，并承担因此产生的费用以及给买方造成的损失。</w:t>
      </w:r>
    </w:p>
    <w:p>
      <w:pPr>
        <w:pStyle w:val="4"/>
        <w:spacing w:line="240" w:lineRule="auto"/>
        <w:ind w:firstLine="137"/>
        <w:rPr>
          <w:rFonts w:ascii="Times New Roman" w:hAnsi="Times New Roman"/>
          <w:color w:val="000000"/>
          <w:highlight w:val="none"/>
        </w:rPr>
      </w:pPr>
      <w:bookmarkStart w:id="645" w:name="_Toc501460693"/>
      <w:bookmarkStart w:id="646" w:name="_Toc921350067"/>
      <w:r>
        <w:rPr>
          <w:rFonts w:ascii="Times New Roman" w:hAnsi="Times New Roman"/>
          <w:color w:val="000000"/>
          <w:highlight w:val="none"/>
        </w:rPr>
        <w:t xml:space="preserve">1.9 </w:t>
      </w:r>
      <w:r>
        <w:rPr>
          <w:rFonts w:hint="eastAsia" w:ascii="Times New Roman" w:hAnsi="Times New Roman"/>
          <w:color w:val="000000"/>
          <w:highlight w:val="none"/>
        </w:rPr>
        <w:t>保密</w:t>
      </w:r>
      <w:bookmarkEnd w:id="645"/>
      <w:bookmarkEnd w:id="646"/>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合同双方应对因履行合同而取得的另一方当事人的信息、资料等予以保密。未经另一方当事人书面同意，任何一方均不得为与履行合同无关的目的使用或向第三方披露另一方当事人提供的信息、资料。</w:t>
      </w:r>
    </w:p>
    <w:p>
      <w:pPr>
        <w:pStyle w:val="3"/>
        <w:rPr>
          <w:rFonts w:ascii="Times New Roman" w:hAnsi="Times New Roman"/>
          <w:bCs/>
          <w:szCs w:val="32"/>
          <w:highlight w:val="none"/>
        </w:rPr>
      </w:pPr>
      <w:bookmarkStart w:id="647" w:name="_Toc501460694"/>
      <w:bookmarkStart w:id="648" w:name="_Toc1080029374"/>
      <w:r>
        <w:rPr>
          <w:rFonts w:ascii="Times New Roman" w:hAnsi="Times New Roman"/>
          <w:bCs/>
          <w:szCs w:val="32"/>
          <w:highlight w:val="none"/>
        </w:rPr>
        <w:t>2. 合同范围</w:t>
      </w:r>
      <w:bookmarkEnd w:id="647"/>
      <w:bookmarkEnd w:id="648"/>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卖方应根据</w:t>
      </w:r>
      <w:r>
        <w:rPr>
          <w:rFonts w:ascii="Times New Roman" w:hAnsi="Times New Roman"/>
          <w:szCs w:val="24"/>
          <w:highlight w:val="none"/>
        </w:rPr>
        <w:t>供货要求</w:t>
      </w:r>
      <w:r>
        <w:rPr>
          <w:rFonts w:hint="eastAsia" w:ascii="Times New Roman" w:hAnsi="Times New Roman"/>
          <w:szCs w:val="24"/>
          <w:highlight w:val="none"/>
        </w:rPr>
        <w:t>、</w:t>
      </w:r>
      <w:r>
        <w:rPr>
          <w:rFonts w:hint="eastAsia" w:ascii="Times New Roman" w:hAnsi="Times New Roman"/>
          <w:highlight w:val="none"/>
        </w:rPr>
        <w:t>中</w:t>
      </w:r>
      <w:r>
        <w:rPr>
          <w:rFonts w:ascii="Times New Roman" w:hAnsi="Times New Roman"/>
          <w:highlight w:val="none"/>
        </w:rPr>
        <w:t>标材料质量标准的详细描述</w:t>
      </w:r>
      <w:r>
        <w:rPr>
          <w:rFonts w:ascii="Times New Roman" w:hAnsi="Times New Roman"/>
          <w:szCs w:val="24"/>
          <w:highlight w:val="none"/>
        </w:rPr>
        <w:t>、</w:t>
      </w:r>
      <w:r>
        <w:rPr>
          <w:rFonts w:ascii="Times New Roman" w:hAnsi="Times New Roman"/>
          <w:highlight w:val="none"/>
        </w:rPr>
        <w:t>相关服务计划</w:t>
      </w:r>
      <w:r>
        <w:rPr>
          <w:rFonts w:ascii="Times New Roman" w:hAnsi="Times New Roman"/>
          <w:szCs w:val="21"/>
          <w:highlight w:val="none"/>
        </w:rPr>
        <w:t>等合同文件的约定向买方提供合同材料和相关服务。</w:t>
      </w:r>
    </w:p>
    <w:p>
      <w:pPr>
        <w:pStyle w:val="3"/>
        <w:rPr>
          <w:rFonts w:ascii="Times New Roman" w:hAnsi="Times New Roman"/>
          <w:bCs/>
          <w:szCs w:val="32"/>
          <w:highlight w:val="none"/>
        </w:rPr>
      </w:pPr>
      <w:bookmarkStart w:id="649" w:name="_Toc255758074"/>
      <w:bookmarkStart w:id="650" w:name="_Toc501460695"/>
      <w:r>
        <w:rPr>
          <w:rFonts w:ascii="Times New Roman" w:hAnsi="Times New Roman"/>
          <w:bCs/>
          <w:szCs w:val="32"/>
          <w:highlight w:val="none"/>
        </w:rPr>
        <w:t>3. 合同价格与支付</w:t>
      </w:r>
      <w:bookmarkEnd w:id="649"/>
      <w:bookmarkEnd w:id="650"/>
    </w:p>
    <w:p>
      <w:pPr>
        <w:pStyle w:val="4"/>
        <w:spacing w:line="240" w:lineRule="auto"/>
        <w:ind w:firstLine="137"/>
        <w:rPr>
          <w:rFonts w:ascii="Times New Roman" w:hAnsi="Times New Roman"/>
          <w:color w:val="000000"/>
          <w:highlight w:val="none"/>
        </w:rPr>
      </w:pPr>
      <w:bookmarkStart w:id="651" w:name="_Toc1103278475"/>
      <w:bookmarkStart w:id="652" w:name="_Toc501460696"/>
      <w:r>
        <w:rPr>
          <w:rFonts w:ascii="Times New Roman" w:hAnsi="Times New Roman"/>
          <w:color w:val="000000"/>
          <w:highlight w:val="none"/>
        </w:rPr>
        <w:t xml:space="preserve">3.1 </w:t>
      </w:r>
      <w:r>
        <w:rPr>
          <w:rFonts w:hint="eastAsia" w:ascii="Times New Roman" w:hAnsi="Times New Roman"/>
          <w:color w:val="000000"/>
          <w:highlight w:val="none"/>
        </w:rPr>
        <w:t>合同价格</w:t>
      </w:r>
      <w:bookmarkEnd w:id="651"/>
      <w:bookmarkEnd w:id="652"/>
    </w:p>
    <w:p>
      <w:pPr>
        <w:spacing w:line="360" w:lineRule="auto"/>
        <w:ind w:firstLine="420" w:firstLineChars="200"/>
        <w:rPr>
          <w:rFonts w:ascii="Times New Roman" w:hAnsi="Times New Roman"/>
          <w:kern w:val="0"/>
          <w:szCs w:val="21"/>
          <w:highlight w:val="none"/>
        </w:rPr>
      </w:pPr>
      <w:r>
        <w:rPr>
          <w:rFonts w:ascii="Times New Roman" w:hAnsi="Times New Roman"/>
          <w:szCs w:val="21"/>
          <w:highlight w:val="none"/>
        </w:rPr>
        <w:t>3.1.1</w:t>
      </w:r>
      <w:r>
        <w:rPr>
          <w:rFonts w:hint="eastAsia" w:ascii="Times New Roman" w:hAnsi="Times New Roman"/>
          <w:szCs w:val="21"/>
          <w:highlight w:val="none"/>
        </w:rPr>
        <w:t xml:space="preserve"> </w:t>
      </w:r>
      <w:r>
        <w:rPr>
          <w:rFonts w:ascii="Times New Roman" w:hAnsi="Times New Roman"/>
          <w:szCs w:val="21"/>
          <w:highlight w:val="none"/>
        </w:rPr>
        <w:t>合同协议书中</w:t>
      </w:r>
      <w:r>
        <w:rPr>
          <w:rFonts w:ascii="Times New Roman" w:hAnsi="Times New Roman"/>
          <w:kern w:val="0"/>
          <w:szCs w:val="21"/>
          <w:highlight w:val="none"/>
        </w:rPr>
        <w:t>载明的签约合同价包括卖方为完成合同全部义务应承担的一切成本、费用和支出以及卖方的合理利润</w:t>
      </w:r>
      <w:r>
        <w:rPr>
          <w:rFonts w:ascii="Times New Roman" w:hAnsi="Times New Roman"/>
          <w:szCs w:val="21"/>
          <w:highlight w:val="none"/>
        </w:rPr>
        <w:t>。</w:t>
      </w:r>
    </w:p>
    <w:p>
      <w:pPr>
        <w:spacing w:line="360" w:lineRule="auto"/>
        <w:ind w:firstLine="420" w:firstLineChars="200"/>
        <w:rPr>
          <w:rFonts w:ascii="Times New Roman" w:hAnsi="Times New Roman"/>
          <w:kern w:val="0"/>
          <w:szCs w:val="21"/>
          <w:highlight w:val="none"/>
        </w:rPr>
      </w:pPr>
      <w:r>
        <w:rPr>
          <w:rFonts w:ascii="Times New Roman" w:hAnsi="Times New Roman"/>
          <w:kern w:val="0"/>
          <w:szCs w:val="21"/>
          <w:highlight w:val="none"/>
        </w:rPr>
        <w:t>3.1.2</w:t>
      </w:r>
      <w:r>
        <w:rPr>
          <w:rFonts w:hint="eastAsia" w:ascii="Times New Roman" w:hAnsi="Times New Roman"/>
          <w:kern w:val="0"/>
          <w:szCs w:val="21"/>
          <w:highlight w:val="none"/>
        </w:rPr>
        <w:t xml:space="preserve"> </w:t>
      </w:r>
      <w:r>
        <w:rPr>
          <w:rFonts w:ascii="Times New Roman" w:hAnsi="Times New Roman"/>
          <w:szCs w:val="21"/>
          <w:highlight w:val="none"/>
        </w:rPr>
        <w:t>除专用合同条款另有约定外，</w:t>
      </w:r>
      <w:r>
        <w:rPr>
          <w:rFonts w:ascii="Times New Roman" w:hAnsi="Times New Roman"/>
          <w:kern w:val="0"/>
          <w:szCs w:val="21"/>
          <w:highlight w:val="none"/>
        </w:rPr>
        <w:t>供货周期不超过12个月的</w:t>
      </w:r>
      <w:r>
        <w:rPr>
          <w:rFonts w:ascii="Times New Roman" w:hAnsi="Times New Roman"/>
          <w:szCs w:val="21"/>
          <w:highlight w:val="none"/>
        </w:rPr>
        <w:t>签约合同价为固定价格。</w:t>
      </w:r>
      <w:r>
        <w:rPr>
          <w:rFonts w:ascii="Times New Roman" w:hAnsi="Times New Roman"/>
          <w:kern w:val="0"/>
          <w:szCs w:val="21"/>
          <w:highlight w:val="none"/>
        </w:rPr>
        <w:t>供货周期超过12个月且合同材料交付时材料价格变化超过专用合同条款约定的幅度的，双方应按照专用合同条款中约定的调整方法对合同价格进行调整。</w:t>
      </w:r>
    </w:p>
    <w:p>
      <w:pPr>
        <w:pStyle w:val="4"/>
        <w:spacing w:line="240" w:lineRule="auto"/>
        <w:ind w:firstLine="137"/>
        <w:rPr>
          <w:rFonts w:ascii="Times New Roman" w:hAnsi="Times New Roman"/>
          <w:color w:val="000000"/>
          <w:highlight w:val="none"/>
        </w:rPr>
      </w:pPr>
      <w:bookmarkStart w:id="653" w:name="_Toc501460697"/>
      <w:bookmarkStart w:id="654" w:name="_Toc1524911162"/>
      <w:r>
        <w:rPr>
          <w:rFonts w:ascii="Times New Roman" w:hAnsi="Times New Roman"/>
          <w:color w:val="000000"/>
          <w:highlight w:val="none"/>
        </w:rPr>
        <w:t xml:space="preserve">3.2 </w:t>
      </w:r>
      <w:r>
        <w:rPr>
          <w:rFonts w:hint="eastAsia" w:ascii="Times New Roman" w:hAnsi="Times New Roman"/>
          <w:color w:val="000000"/>
          <w:highlight w:val="none"/>
        </w:rPr>
        <w:t>合同价款的支付</w:t>
      </w:r>
      <w:bookmarkEnd w:id="653"/>
      <w:bookmarkEnd w:id="654"/>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除专用合同条款另有约定外，买方应通过以下方式和比例向卖方支付合同价款：</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3.2.1预付款</w:t>
      </w:r>
    </w:p>
    <w:p>
      <w:pPr>
        <w:spacing w:line="360" w:lineRule="auto"/>
        <w:ind w:firstLine="420" w:firstLineChars="200"/>
        <w:rPr>
          <w:rStyle w:val="34"/>
          <w:rFonts w:ascii="Times New Roman" w:hAnsi="Times New Roman"/>
          <w:highlight w:val="none"/>
        </w:rPr>
      </w:pPr>
      <w:r>
        <w:rPr>
          <w:rFonts w:ascii="Times New Roman" w:hAnsi="Times New Roman"/>
          <w:szCs w:val="21"/>
          <w:highlight w:val="none"/>
        </w:rPr>
        <w:t>合同生效后，买方在收到卖方</w:t>
      </w:r>
      <w:r>
        <w:rPr>
          <w:rFonts w:ascii="Times New Roman" w:hAnsi="Times New Roman"/>
          <w:szCs w:val="21"/>
          <w:highlight w:val="none"/>
          <w:lang w:val="zh-CN"/>
        </w:rPr>
        <w:t>开具</w:t>
      </w:r>
      <w:r>
        <w:rPr>
          <w:rFonts w:ascii="Times New Roman" w:hAnsi="Times New Roman"/>
          <w:highlight w:val="none"/>
          <w:lang w:val="zh-CN"/>
        </w:rPr>
        <w:t>的</w:t>
      </w:r>
      <w:r>
        <w:rPr>
          <w:rFonts w:ascii="Times New Roman" w:hAnsi="Times New Roman"/>
          <w:szCs w:val="21"/>
          <w:highlight w:val="none"/>
          <w:lang w:val="zh-CN"/>
        </w:rPr>
        <w:t>注明应付预付款金额的财务收据正本一份</w:t>
      </w:r>
      <w:r>
        <w:rPr>
          <w:rFonts w:ascii="Times New Roman" w:hAnsi="Times New Roman"/>
          <w:szCs w:val="21"/>
          <w:highlight w:val="none"/>
        </w:rPr>
        <w:t>并经审核无误后28日内，向卖方支付签约合同价的10%</w:t>
      </w:r>
      <w:r>
        <w:rPr>
          <w:rStyle w:val="34"/>
          <w:rFonts w:ascii="Times New Roman" w:hAnsi="Times New Roman"/>
          <w:highlight w:val="none"/>
        </w:rPr>
        <w:t>作为预付款。</w:t>
      </w:r>
    </w:p>
    <w:p>
      <w:pPr>
        <w:spacing w:line="360" w:lineRule="auto"/>
        <w:ind w:firstLine="420" w:firstLineChars="200"/>
        <w:rPr>
          <w:rFonts w:ascii="Times New Roman" w:hAnsi="Times New Roman"/>
          <w:szCs w:val="21"/>
          <w:highlight w:val="none"/>
        </w:rPr>
      </w:pPr>
      <w:r>
        <w:rPr>
          <w:rStyle w:val="34"/>
          <w:rFonts w:ascii="Times New Roman" w:hAnsi="Times New Roman"/>
          <w:highlight w:val="none"/>
        </w:rPr>
        <w:t>买方支付预付款后，如卖方未履行合同义务，则买方有权收回预付款；如卖方依约履行了合同义务，则预付款抵作进度款。</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3.2.2 进度款</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卖方按照合同约定的进度交付合同材料并提供相关服务后，买方在收到卖方提交的下列单据并经审核无误后28日内，应向卖方支付进度款，进度款支付至该批次合同材料的合同价格的95%：</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（1）卖方出具的交货清单正本一份；</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（2）买方签署的收货清单正本一份；</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（3）制造商出具的出厂质量合格证正本一份；</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（4）合同材料验收证书或进度款支付函正本一份；</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（5）合同价格100%金额的增值税发票正本一份。</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3.2.3 结清款</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全部合同材料质量保证期届满后，买方在收到卖方提交的由买方签署的质量保证期届满证书并经审核无误后28日内，向卖方支付合同价格5%的</w:t>
      </w:r>
      <w:r>
        <w:rPr>
          <w:rFonts w:ascii="Times New Roman" w:hAnsi="Times New Roman"/>
          <w:highlight w:val="none"/>
        </w:rPr>
        <w:t>结清款</w:t>
      </w:r>
      <w:r>
        <w:rPr>
          <w:rFonts w:ascii="Times New Roman" w:hAnsi="Times New Roman"/>
          <w:szCs w:val="21"/>
          <w:highlight w:val="none"/>
        </w:rPr>
        <w:t>。</w:t>
      </w:r>
    </w:p>
    <w:p>
      <w:pPr>
        <w:pStyle w:val="4"/>
        <w:spacing w:line="240" w:lineRule="auto"/>
        <w:ind w:firstLine="137"/>
        <w:rPr>
          <w:rFonts w:ascii="Times New Roman" w:hAnsi="Times New Roman"/>
          <w:color w:val="000000"/>
          <w:highlight w:val="none"/>
        </w:rPr>
      </w:pPr>
      <w:bookmarkStart w:id="655" w:name="_Toc2123412089"/>
      <w:bookmarkStart w:id="656" w:name="_Toc501460698"/>
      <w:r>
        <w:rPr>
          <w:rFonts w:ascii="Times New Roman" w:hAnsi="Times New Roman"/>
          <w:color w:val="000000"/>
          <w:highlight w:val="none"/>
        </w:rPr>
        <w:t xml:space="preserve">3.3 </w:t>
      </w:r>
      <w:r>
        <w:rPr>
          <w:rFonts w:hint="eastAsia" w:ascii="Times New Roman" w:hAnsi="Times New Roman"/>
          <w:color w:val="000000"/>
          <w:highlight w:val="none"/>
        </w:rPr>
        <w:t>买方扣款的权利</w:t>
      </w:r>
      <w:bookmarkEnd w:id="655"/>
      <w:bookmarkEnd w:id="656"/>
    </w:p>
    <w:p>
      <w:pPr>
        <w:spacing w:line="360" w:lineRule="auto"/>
        <w:ind w:firstLine="420" w:firstLineChars="200"/>
        <w:rPr>
          <w:rFonts w:ascii="Times New Roman" w:hAnsi="Times New Roman"/>
          <w:color w:val="000000"/>
          <w:szCs w:val="21"/>
          <w:highlight w:val="none"/>
        </w:rPr>
      </w:pPr>
      <w:r>
        <w:rPr>
          <w:rFonts w:ascii="Times New Roman" w:hAnsi="Times New Roman"/>
          <w:color w:val="000000"/>
          <w:szCs w:val="21"/>
          <w:highlight w:val="none"/>
        </w:rPr>
        <w:t>当卖方应向买方支付合同项下的违约金或赔偿金时，买方有权从上述任何一笔应付款中予以直接扣除和（或）兑付履约保证金。</w:t>
      </w:r>
    </w:p>
    <w:p>
      <w:pPr>
        <w:pStyle w:val="3"/>
        <w:rPr>
          <w:rFonts w:ascii="Times New Roman" w:hAnsi="Times New Roman"/>
          <w:bCs/>
          <w:szCs w:val="32"/>
          <w:highlight w:val="none"/>
        </w:rPr>
      </w:pPr>
      <w:bookmarkStart w:id="657" w:name="_Toc643460372"/>
      <w:bookmarkStart w:id="658" w:name="_Toc501460699"/>
      <w:r>
        <w:rPr>
          <w:rFonts w:ascii="Times New Roman" w:hAnsi="Times New Roman"/>
          <w:bCs/>
          <w:szCs w:val="32"/>
          <w:highlight w:val="none"/>
        </w:rPr>
        <w:t>4. 包装、标记、运输和交付</w:t>
      </w:r>
      <w:bookmarkEnd w:id="657"/>
      <w:bookmarkEnd w:id="658"/>
    </w:p>
    <w:p>
      <w:pPr>
        <w:pStyle w:val="4"/>
        <w:spacing w:line="240" w:lineRule="auto"/>
        <w:ind w:firstLine="137"/>
        <w:rPr>
          <w:rFonts w:ascii="Times New Roman" w:hAnsi="Times New Roman"/>
          <w:color w:val="000000"/>
          <w:highlight w:val="none"/>
        </w:rPr>
      </w:pPr>
      <w:bookmarkStart w:id="659" w:name="_Toc639013438"/>
      <w:bookmarkStart w:id="660" w:name="_Toc501460700"/>
      <w:r>
        <w:rPr>
          <w:rFonts w:ascii="Times New Roman" w:hAnsi="Times New Roman"/>
          <w:color w:val="000000"/>
          <w:highlight w:val="none"/>
        </w:rPr>
        <w:t xml:space="preserve">4.1 </w:t>
      </w:r>
      <w:r>
        <w:rPr>
          <w:rFonts w:hint="eastAsia" w:ascii="Times New Roman" w:hAnsi="Times New Roman"/>
          <w:color w:val="000000"/>
          <w:highlight w:val="none"/>
        </w:rPr>
        <w:t>包装</w:t>
      </w:r>
      <w:bookmarkEnd w:id="659"/>
      <w:bookmarkEnd w:id="660"/>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4.1.1卖方应对合同材料进行妥善包装，以满足合同材料运至施工场地及在施工场地保管的需要。包装应采取防潮、防晒、防锈、防腐蚀、防震动及防止其</w:t>
      </w:r>
      <w:r>
        <w:rPr>
          <w:rFonts w:hint="eastAsia" w:ascii="Times New Roman" w:hAnsi="Times New Roman"/>
          <w:szCs w:val="21"/>
          <w:highlight w:val="none"/>
        </w:rPr>
        <w:t>他</w:t>
      </w:r>
      <w:r>
        <w:rPr>
          <w:rFonts w:ascii="Times New Roman" w:hAnsi="Times New Roman"/>
          <w:szCs w:val="21"/>
          <w:highlight w:val="none"/>
        </w:rPr>
        <w:t>损坏的必要保护措施，从而保护合同材料能够经受多次搬运、装卸、长途运输并适宜保管。</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4.1.2 除专用合同条款另有约定外，买方无需将包装物退还给卖方。</w:t>
      </w:r>
    </w:p>
    <w:p>
      <w:pPr>
        <w:pStyle w:val="4"/>
        <w:spacing w:line="240" w:lineRule="auto"/>
        <w:ind w:firstLine="137"/>
        <w:rPr>
          <w:rFonts w:ascii="Times New Roman" w:hAnsi="Times New Roman"/>
          <w:color w:val="000000"/>
          <w:highlight w:val="none"/>
        </w:rPr>
      </w:pPr>
      <w:bookmarkStart w:id="661" w:name="_Toc501460701"/>
      <w:bookmarkStart w:id="662" w:name="_Toc654766473"/>
      <w:r>
        <w:rPr>
          <w:rFonts w:ascii="Times New Roman" w:hAnsi="Times New Roman"/>
          <w:color w:val="000000"/>
          <w:highlight w:val="none"/>
        </w:rPr>
        <w:t xml:space="preserve">4.2 </w:t>
      </w:r>
      <w:r>
        <w:rPr>
          <w:rFonts w:hint="eastAsia" w:ascii="Times New Roman" w:hAnsi="Times New Roman"/>
          <w:color w:val="000000"/>
          <w:highlight w:val="none"/>
        </w:rPr>
        <w:t>标记</w:t>
      </w:r>
      <w:bookmarkEnd w:id="661"/>
      <w:bookmarkEnd w:id="662"/>
    </w:p>
    <w:p>
      <w:pPr>
        <w:spacing w:line="360" w:lineRule="auto"/>
        <w:ind w:firstLine="420" w:firstLineChars="200"/>
        <w:outlineLvl w:val="3"/>
        <w:rPr>
          <w:rFonts w:ascii="Times New Roman" w:hAnsi="Times New Roman"/>
          <w:szCs w:val="21"/>
          <w:highlight w:val="none"/>
        </w:rPr>
      </w:pPr>
      <w:r>
        <w:rPr>
          <w:rFonts w:ascii="Times New Roman" w:hAnsi="Times New Roman"/>
          <w:szCs w:val="21"/>
          <w:highlight w:val="none"/>
        </w:rPr>
        <w:t>4.2.1</w:t>
      </w:r>
      <w:r>
        <w:rPr>
          <w:rFonts w:hint="eastAsia" w:ascii="Times New Roman" w:hAnsi="Times New Roman"/>
          <w:szCs w:val="21"/>
          <w:highlight w:val="none"/>
        </w:rPr>
        <w:t xml:space="preserve"> </w:t>
      </w:r>
      <w:r>
        <w:rPr>
          <w:rFonts w:ascii="Times New Roman" w:hAnsi="Times New Roman"/>
          <w:szCs w:val="21"/>
          <w:highlight w:val="none"/>
        </w:rPr>
        <w:t>除专用合同条款另有约定外，卖方应按合同约定在材料包装上以不可擦除的、明显的方式作出必要的标记。</w:t>
      </w:r>
    </w:p>
    <w:p>
      <w:pPr>
        <w:spacing w:line="360" w:lineRule="auto"/>
        <w:ind w:firstLine="420" w:firstLineChars="200"/>
        <w:rPr>
          <w:rFonts w:ascii="Times New Roman" w:hAnsi="Times New Roman"/>
          <w:color w:val="000000"/>
          <w:highlight w:val="none"/>
        </w:rPr>
      </w:pPr>
      <w:r>
        <w:rPr>
          <w:rFonts w:ascii="Times New Roman" w:hAnsi="Times New Roman"/>
          <w:szCs w:val="21"/>
          <w:highlight w:val="none"/>
        </w:rPr>
        <w:t>4.2.2 根据合同材料的特点和运输、保管的不同要求，卖方应对合同材料清楚地标注“小心轻放”“此端朝上，请勿倒置”“保持干燥”等字样和其他适当标记。</w:t>
      </w:r>
      <w:r>
        <w:rPr>
          <w:rFonts w:ascii="Times New Roman" w:hAnsi="Times New Roman"/>
          <w:color w:val="000000"/>
          <w:highlight w:val="none"/>
        </w:rPr>
        <w:t>如果合同材料中含有易燃易爆物品、腐蚀物品、放射性物质等危险品，卖方应标明危险品标志。</w:t>
      </w:r>
    </w:p>
    <w:p>
      <w:pPr>
        <w:pStyle w:val="4"/>
        <w:spacing w:line="240" w:lineRule="auto"/>
        <w:ind w:firstLine="137"/>
        <w:rPr>
          <w:rFonts w:ascii="Times New Roman" w:hAnsi="Times New Roman"/>
          <w:color w:val="000000"/>
          <w:highlight w:val="none"/>
        </w:rPr>
      </w:pPr>
      <w:bookmarkStart w:id="663" w:name="_Toc508041994"/>
      <w:bookmarkStart w:id="664" w:name="_Toc501460702"/>
      <w:r>
        <w:rPr>
          <w:rFonts w:ascii="Times New Roman" w:hAnsi="Times New Roman"/>
          <w:color w:val="000000"/>
          <w:highlight w:val="none"/>
        </w:rPr>
        <w:t xml:space="preserve">4.3 </w:t>
      </w:r>
      <w:r>
        <w:rPr>
          <w:rFonts w:hint="eastAsia" w:ascii="Times New Roman" w:hAnsi="Times New Roman"/>
          <w:color w:val="000000"/>
          <w:highlight w:val="none"/>
        </w:rPr>
        <w:t>运输</w:t>
      </w:r>
      <w:bookmarkEnd w:id="663"/>
      <w:bookmarkEnd w:id="664"/>
    </w:p>
    <w:p>
      <w:pPr>
        <w:spacing w:line="360" w:lineRule="auto"/>
        <w:ind w:firstLine="420" w:firstLineChars="200"/>
        <w:outlineLvl w:val="3"/>
        <w:rPr>
          <w:rFonts w:ascii="Times New Roman" w:hAnsi="Times New Roman"/>
          <w:szCs w:val="21"/>
          <w:highlight w:val="none"/>
        </w:rPr>
      </w:pPr>
      <w:r>
        <w:rPr>
          <w:rFonts w:ascii="Times New Roman" w:hAnsi="Times New Roman"/>
          <w:szCs w:val="21"/>
          <w:highlight w:val="none"/>
        </w:rPr>
        <w:t>4.3.1 卖方应自行选择适宜的运输工具及线路安排合同材料运输。</w:t>
      </w:r>
    </w:p>
    <w:p>
      <w:pPr>
        <w:spacing w:line="360" w:lineRule="auto"/>
        <w:ind w:firstLine="420" w:firstLineChars="200"/>
        <w:outlineLvl w:val="3"/>
        <w:rPr>
          <w:rFonts w:ascii="Times New Roman" w:hAnsi="Times New Roman"/>
          <w:szCs w:val="21"/>
          <w:highlight w:val="none"/>
        </w:rPr>
      </w:pPr>
      <w:r>
        <w:rPr>
          <w:rFonts w:ascii="Times New Roman" w:hAnsi="Times New Roman"/>
          <w:szCs w:val="21"/>
          <w:highlight w:val="none"/>
        </w:rPr>
        <w:t>4.3.2 除专用合同条款另有约定外，卖方应在合同材料预计启运7日前，将合同材料名称、装运材料数量、重量、体积（用m</w:t>
      </w:r>
      <w:r>
        <w:rPr>
          <w:rFonts w:ascii="Times New Roman" w:hAnsi="Times New Roman"/>
          <w:szCs w:val="21"/>
          <w:highlight w:val="none"/>
          <w:vertAlign w:val="superscript"/>
        </w:rPr>
        <w:t>3</w:t>
      </w:r>
      <w:r>
        <w:rPr>
          <w:rFonts w:ascii="Times New Roman" w:hAnsi="Times New Roman"/>
          <w:szCs w:val="21"/>
          <w:highlight w:val="none"/>
        </w:rPr>
        <w:t>表示）、合同材料单价、总金额、运输方式、预计交付日期和合同材料在装卸、保管中的注意事项等预通知买方，并在合同材料启运后24小时之内正式通知买方。</w:t>
      </w:r>
    </w:p>
    <w:p>
      <w:pPr>
        <w:spacing w:line="360" w:lineRule="auto"/>
        <w:ind w:firstLine="420"/>
        <w:outlineLvl w:val="3"/>
        <w:rPr>
          <w:rFonts w:ascii="Times New Roman" w:hAnsi="Times New Roman" w:eastAsia="黑体"/>
          <w:b/>
          <w:bCs/>
          <w:sz w:val="32"/>
          <w:szCs w:val="32"/>
          <w:highlight w:val="none"/>
        </w:rPr>
      </w:pPr>
      <w:r>
        <w:rPr>
          <w:rFonts w:ascii="Times New Roman" w:hAnsi="Times New Roman"/>
          <w:szCs w:val="21"/>
          <w:highlight w:val="none"/>
        </w:rPr>
        <w:t>4.3.3卖方在根据</w:t>
      </w:r>
      <w:r>
        <w:rPr>
          <w:rFonts w:hint="eastAsia" w:ascii="Times New Roman" w:hAnsi="Times New Roman"/>
          <w:szCs w:val="21"/>
          <w:highlight w:val="none"/>
        </w:rPr>
        <w:t>第</w:t>
      </w:r>
      <w:r>
        <w:rPr>
          <w:rFonts w:ascii="Times New Roman" w:hAnsi="Times New Roman"/>
          <w:szCs w:val="21"/>
          <w:highlight w:val="none"/>
        </w:rPr>
        <w:t>4.3.2项进行通知时，如果合同材料中包括单个包装超大和（或）超重的，卖方应将超大</w:t>
      </w:r>
      <w:r>
        <w:rPr>
          <w:rFonts w:ascii="Times New Roman" w:hAnsi="Times New Roman"/>
          <w:color w:val="000000"/>
          <w:highlight w:val="none"/>
        </w:rPr>
        <w:t>和（或）</w:t>
      </w:r>
      <w:r>
        <w:rPr>
          <w:rFonts w:ascii="Times New Roman" w:hAnsi="Times New Roman"/>
          <w:szCs w:val="21"/>
          <w:highlight w:val="none"/>
        </w:rPr>
        <w:t>超重的每个包装的重量和尺寸通知买方；如果合同材料中包括</w:t>
      </w:r>
      <w:r>
        <w:rPr>
          <w:rFonts w:ascii="Times New Roman" w:hAnsi="Times New Roman"/>
          <w:color w:val="000000"/>
          <w:highlight w:val="none"/>
        </w:rPr>
        <w:t>易燃易爆物品、腐蚀物品、放射性物质等危险品，则危险品的品名、性质、</w:t>
      </w:r>
      <w:r>
        <w:rPr>
          <w:rFonts w:ascii="Times New Roman" w:hAnsi="Times New Roman"/>
          <w:szCs w:val="21"/>
          <w:highlight w:val="none"/>
        </w:rPr>
        <w:t>在装卸、保管方面的特殊要求、注意事项和处理意外情况的方法等，也应一并通知买方。</w:t>
      </w:r>
    </w:p>
    <w:p>
      <w:pPr>
        <w:pStyle w:val="4"/>
        <w:spacing w:line="240" w:lineRule="auto"/>
        <w:ind w:firstLine="137"/>
        <w:rPr>
          <w:rFonts w:ascii="Times New Roman" w:hAnsi="Times New Roman"/>
          <w:color w:val="000000"/>
          <w:highlight w:val="none"/>
        </w:rPr>
      </w:pPr>
      <w:bookmarkStart w:id="665" w:name="_Toc501460703"/>
      <w:bookmarkStart w:id="666" w:name="_Toc571637333"/>
      <w:r>
        <w:rPr>
          <w:rFonts w:ascii="Times New Roman" w:hAnsi="Times New Roman"/>
          <w:color w:val="000000"/>
          <w:highlight w:val="none"/>
        </w:rPr>
        <w:t xml:space="preserve">4.4 </w:t>
      </w:r>
      <w:r>
        <w:rPr>
          <w:rFonts w:hint="eastAsia" w:ascii="Times New Roman" w:hAnsi="Times New Roman"/>
          <w:color w:val="000000"/>
          <w:highlight w:val="none"/>
        </w:rPr>
        <w:t>交付</w:t>
      </w:r>
      <w:bookmarkEnd w:id="665"/>
      <w:bookmarkEnd w:id="666"/>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4.4.1</w:t>
      </w:r>
      <w:r>
        <w:rPr>
          <w:rFonts w:hint="eastAsia" w:ascii="Times New Roman" w:hAnsi="Times New Roman"/>
          <w:szCs w:val="21"/>
          <w:highlight w:val="none"/>
        </w:rPr>
        <w:t xml:space="preserve"> </w:t>
      </w:r>
      <w:r>
        <w:rPr>
          <w:rFonts w:ascii="Times New Roman" w:hAnsi="Times New Roman"/>
          <w:szCs w:val="21"/>
          <w:highlight w:val="none"/>
        </w:rPr>
        <w:t>除专用合同条款另有约定外，卖方应根据合同约定的交付时间和批次在施工场地卸货后将合同材料交付给买方，买方对卖方交付的合同材料的外观及件数进行清点核验后应签发收货清单。买方签发收货清单不代表对合同材料的接受，双方还应按合同约定进行后续的检验和验收。</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4.4.2 合同材料的所有权和风险自交付时起由卖方转移至买方，合同</w:t>
      </w:r>
      <w:r>
        <w:rPr>
          <w:rFonts w:ascii="Times New Roman" w:hAnsi="Times New Roman"/>
          <w:highlight w:val="none"/>
        </w:rPr>
        <w:t>材料交付给买方</w:t>
      </w:r>
      <w:r>
        <w:rPr>
          <w:rFonts w:ascii="Times New Roman" w:hAnsi="Times New Roman"/>
          <w:szCs w:val="21"/>
          <w:highlight w:val="none"/>
        </w:rPr>
        <w:t>之前包括运输在内的所有风险均由卖方承担。</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4.4.3</w:t>
      </w:r>
      <w:r>
        <w:rPr>
          <w:rFonts w:hint="eastAsia" w:ascii="Times New Roman" w:hAnsi="Times New Roman"/>
          <w:szCs w:val="21"/>
          <w:highlight w:val="none"/>
        </w:rPr>
        <w:t xml:space="preserve"> </w:t>
      </w:r>
      <w:r>
        <w:rPr>
          <w:rFonts w:ascii="Times New Roman" w:hAnsi="Times New Roman"/>
          <w:szCs w:val="21"/>
          <w:highlight w:val="none"/>
        </w:rPr>
        <w:t>除专用合同条款另有约定外，买方如果发现技术资料存在短缺和（或）损坏，卖方应在收到买方的通知后7日内免费补齐短缺和（或）损坏的部分。如果买方发现卖方提供的技术资料有误，卖方应在收到买方通知后7日内免费替换。如由于买方原因导致技术资料丢失和（或）损坏，卖方应在收到买方的通知后7日内补齐丢失（和）或损坏的部分，但买方应向卖方支付合理的复制、邮寄费用。</w:t>
      </w:r>
    </w:p>
    <w:p>
      <w:pPr>
        <w:pStyle w:val="3"/>
        <w:rPr>
          <w:rFonts w:ascii="Times New Roman" w:hAnsi="Times New Roman"/>
          <w:bCs/>
          <w:szCs w:val="32"/>
          <w:highlight w:val="none"/>
        </w:rPr>
      </w:pPr>
      <w:bookmarkStart w:id="667" w:name="_Toc501460704"/>
      <w:bookmarkStart w:id="668" w:name="_Toc562268802"/>
      <w:r>
        <w:rPr>
          <w:rFonts w:ascii="Times New Roman" w:hAnsi="Times New Roman"/>
          <w:bCs/>
          <w:szCs w:val="32"/>
          <w:highlight w:val="none"/>
        </w:rPr>
        <w:t>5. 检验和验收</w:t>
      </w:r>
      <w:bookmarkEnd w:id="667"/>
      <w:bookmarkEnd w:id="668"/>
    </w:p>
    <w:p>
      <w:pPr>
        <w:spacing w:line="360" w:lineRule="auto"/>
        <w:ind w:firstLine="420" w:firstLineChars="200"/>
        <w:outlineLvl w:val="9"/>
        <w:rPr>
          <w:rFonts w:ascii="Times New Roman" w:hAnsi="Times New Roman"/>
          <w:szCs w:val="21"/>
          <w:highlight w:val="none"/>
        </w:rPr>
      </w:pPr>
      <w:r>
        <w:rPr>
          <w:rFonts w:ascii="Times New Roman" w:hAnsi="Times New Roman"/>
          <w:szCs w:val="21"/>
          <w:highlight w:val="none"/>
        </w:rPr>
        <w:t>5.1 合同材料交付前，卖方应对其进行全面检验，并在交付合同材料时向买方提交合同材料的质量合格证书。</w:t>
      </w:r>
    </w:p>
    <w:p>
      <w:pPr>
        <w:spacing w:line="360" w:lineRule="auto"/>
        <w:ind w:firstLine="420" w:firstLineChars="200"/>
        <w:outlineLvl w:val="9"/>
        <w:rPr>
          <w:rFonts w:ascii="Times New Roman" w:hAnsi="Times New Roman"/>
          <w:szCs w:val="21"/>
          <w:highlight w:val="none"/>
        </w:rPr>
      </w:pPr>
      <w:r>
        <w:rPr>
          <w:rFonts w:ascii="Times New Roman" w:hAnsi="Times New Roman"/>
          <w:szCs w:val="21"/>
          <w:highlight w:val="none"/>
        </w:rPr>
        <w:t>5.2 合同材料交付后，买方应在专用合同条款约定的期限内安排对合同材料的规格、质量等进行检验，检验按照专用合同条款约定的下列一种方式进行：</w:t>
      </w:r>
    </w:p>
    <w:p>
      <w:pPr>
        <w:spacing w:line="360" w:lineRule="auto"/>
        <w:ind w:firstLine="420" w:firstLineChars="200"/>
        <w:outlineLvl w:val="9"/>
        <w:rPr>
          <w:rFonts w:ascii="Times New Roman" w:hAnsi="Times New Roman"/>
          <w:szCs w:val="21"/>
          <w:highlight w:val="none"/>
        </w:rPr>
      </w:pPr>
      <w:r>
        <w:rPr>
          <w:rFonts w:ascii="Times New Roman" w:hAnsi="Times New Roman"/>
          <w:szCs w:val="21"/>
          <w:highlight w:val="none"/>
        </w:rPr>
        <w:t>（1）由买方对合同材料进行检验；</w:t>
      </w:r>
    </w:p>
    <w:p>
      <w:pPr>
        <w:spacing w:line="360" w:lineRule="auto"/>
        <w:ind w:firstLine="420" w:firstLineChars="200"/>
        <w:outlineLvl w:val="9"/>
        <w:rPr>
          <w:rFonts w:ascii="Times New Roman" w:hAnsi="Times New Roman"/>
          <w:szCs w:val="21"/>
          <w:highlight w:val="none"/>
        </w:rPr>
      </w:pPr>
      <w:r>
        <w:rPr>
          <w:rFonts w:ascii="Times New Roman" w:hAnsi="Times New Roman"/>
          <w:szCs w:val="21"/>
          <w:highlight w:val="none"/>
        </w:rPr>
        <w:t>（2）由专用合同条款约定的拥有资质的第三方检验机构对合同材料进行检验；</w:t>
      </w:r>
    </w:p>
    <w:p>
      <w:pPr>
        <w:spacing w:line="360" w:lineRule="auto"/>
        <w:ind w:firstLine="420" w:firstLineChars="200"/>
        <w:outlineLvl w:val="9"/>
        <w:rPr>
          <w:rFonts w:ascii="Times New Roman" w:hAnsi="Times New Roman"/>
          <w:szCs w:val="21"/>
          <w:highlight w:val="none"/>
        </w:rPr>
      </w:pPr>
      <w:r>
        <w:rPr>
          <w:rFonts w:ascii="Times New Roman" w:hAnsi="Times New Roman"/>
          <w:szCs w:val="21"/>
          <w:highlight w:val="none"/>
        </w:rPr>
        <w:t>（3）专用合同条款约定的其他方式。</w:t>
      </w:r>
    </w:p>
    <w:p>
      <w:pPr>
        <w:spacing w:line="360" w:lineRule="auto"/>
        <w:ind w:firstLine="420" w:firstLineChars="200"/>
        <w:outlineLvl w:val="9"/>
        <w:rPr>
          <w:rFonts w:ascii="Times New Roman" w:hAnsi="Times New Roman"/>
          <w:szCs w:val="21"/>
          <w:highlight w:val="none"/>
        </w:rPr>
      </w:pPr>
      <w:r>
        <w:rPr>
          <w:rFonts w:ascii="Times New Roman" w:hAnsi="Times New Roman"/>
          <w:szCs w:val="21"/>
          <w:highlight w:val="none"/>
        </w:rPr>
        <w:t>5.3 买方应在检验日期3日前将检验的时间和地点通知卖方，卖方应自负费用派遣代表参加检验。若卖方未按买方通知到场参加检验，则检验可正常进行，卖方应接受对合同材料的检验结果。</w:t>
      </w:r>
    </w:p>
    <w:p>
      <w:pPr>
        <w:spacing w:line="360" w:lineRule="auto"/>
        <w:ind w:firstLine="420" w:firstLineChars="200"/>
        <w:outlineLvl w:val="9"/>
        <w:rPr>
          <w:rFonts w:ascii="Times New Roman" w:hAnsi="Times New Roman"/>
          <w:szCs w:val="21"/>
          <w:highlight w:val="none"/>
        </w:rPr>
      </w:pPr>
      <w:r>
        <w:rPr>
          <w:rFonts w:ascii="Times New Roman" w:hAnsi="Times New Roman"/>
          <w:szCs w:val="21"/>
          <w:highlight w:val="none"/>
        </w:rPr>
        <w:t>5.4 合同材料经检验合格，买卖双方应签署合同材料验收证书一式二份，双方各持一份。</w:t>
      </w:r>
    </w:p>
    <w:p>
      <w:pPr>
        <w:spacing w:line="360" w:lineRule="auto"/>
        <w:ind w:firstLine="420" w:firstLineChars="200"/>
        <w:outlineLvl w:val="9"/>
        <w:rPr>
          <w:rFonts w:ascii="Times New Roman" w:hAnsi="Times New Roman"/>
          <w:szCs w:val="21"/>
          <w:highlight w:val="none"/>
        </w:rPr>
      </w:pPr>
      <w:r>
        <w:rPr>
          <w:rFonts w:ascii="Times New Roman" w:hAnsi="Times New Roman"/>
          <w:szCs w:val="21"/>
          <w:highlight w:val="none"/>
        </w:rPr>
        <w:t>5.5 若合同约定了合同材料</w:t>
      </w:r>
      <w:r>
        <w:rPr>
          <w:rFonts w:hint="eastAsia" w:ascii="Times New Roman" w:hAnsi="Times New Roman"/>
          <w:szCs w:val="21"/>
          <w:highlight w:val="none"/>
        </w:rPr>
        <w:t>的最低质量标准，且合同材料经检验达到了合同约定的</w:t>
      </w:r>
      <w:r>
        <w:rPr>
          <w:rFonts w:ascii="Times New Roman" w:hAnsi="Times New Roman"/>
          <w:szCs w:val="21"/>
          <w:highlight w:val="none"/>
        </w:rPr>
        <w:t>最低质量标准的，视为合同材料符合质量标准，买方应验收合同材料，但卖方应按专用合同条款的约定进行减价或向买方支付补偿金。</w:t>
      </w:r>
    </w:p>
    <w:p>
      <w:pPr>
        <w:spacing w:line="360" w:lineRule="auto"/>
        <w:ind w:firstLine="420" w:firstLineChars="200"/>
        <w:outlineLvl w:val="9"/>
        <w:rPr>
          <w:rFonts w:ascii="Times New Roman" w:hAnsi="Times New Roman"/>
          <w:szCs w:val="21"/>
          <w:highlight w:val="none"/>
        </w:rPr>
      </w:pPr>
      <w:r>
        <w:rPr>
          <w:rFonts w:ascii="Times New Roman" w:hAnsi="Times New Roman"/>
          <w:szCs w:val="21"/>
          <w:highlight w:val="none"/>
        </w:rPr>
        <w:t>5.6</w:t>
      </w:r>
      <w:r>
        <w:rPr>
          <w:rFonts w:hint="eastAsia" w:ascii="Times New Roman" w:hAnsi="Times New Roman"/>
          <w:szCs w:val="21"/>
          <w:highlight w:val="none"/>
        </w:rPr>
        <w:t xml:space="preserve"> </w:t>
      </w:r>
      <w:r>
        <w:rPr>
          <w:rFonts w:ascii="Times New Roman" w:hAnsi="Times New Roman"/>
          <w:szCs w:val="21"/>
          <w:highlight w:val="none"/>
        </w:rPr>
        <w:t>合同材料由第三方检验机构进行检验的，第三方检验机构的检验结果对双方均具有约束力。</w:t>
      </w:r>
    </w:p>
    <w:p>
      <w:pPr>
        <w:spacing w:line="360" w:lineRule="auto"/>
        <w:ind w:firstLine="420" w:firstLineChars="200"/>
        <w:outlineLvl w:val="9"/>
        <w:rPr>
          <w:rFonts w:ascii="Times New Roman" w:hAnsi="Times New Roman"/>
          <w:szCs w:val="21"/>
          <w:highlight w:val="none"/>
        </w:rPr>
      </w:pPr>
      <w:r>
        <w:rPr>
          <w:rFonts w:ascii="Times New Roman" w:hAnsi="Times New Roman"/>
          <w:szCs w:val="21"/>
          <w:highlight w:val="none"/>
        </w:rPr>
        <w:t>5.7</w:t>
      </w:r>
      <w:r>
        <w:rPr>
          <w:rFonts w:hint="eastAsia" w:ascii="Times New Roman" w:hAnsi="Times New Roman"/>
          <w:szCs w:val="21"/>
          <w:highlight w:val="none"/>
        </w:rPr>
        <w:t xml:space="preserve"> </w:t>
      </w:r>
      <w:r>
        <w:rPr>
          <w:rFonts w:ascii="Times New Roman" w:hAnsi="Times New Roman"/>
          <w:szCs w:val="21"/>
          <w:highlight w:val="none"/>
        </w:rPr>
        <w:t>除专用合同条款另有约定外，买方在全部合同材料交付后3个月内未安排检验和验收的，卖方可签署</w:t>
      </w:r>
      <w:r>
        <w:rPr>
          <w:rStyle w:val="30"/>
          <w:rFonts w:hint="eastAsia" w:ascii="Times New Roman" w:hAnsi="Times New Roman"/>
          <w:szCs w:val="21"/>
          <w:highlight w:val="none"/>
        </w:rPr>
        <w:t>进度款支付函提交买方，如买方在收到后</w:t>
      </w:r>
      <w:r>
        <w:rPr>
          <w:rStyle w:val="30"/>
          <w:rFonts w:ascii="Times New Roman" w:hAnsi="Times New Roman"/>
          <w:szCs w:val="21"/>
          <w:highlight w:val="none"/>
        </w:rPr>
        <w:t>7</w:t>
      </w:r>
      <w:r>
        <w:rPr>
          <w:rStyle w:val="30"/>
          <w:rFonts w:hint="eastAsia" w:ascii="Times New Roman" w:hAnsi="Times New Roman"/>
          <w:szCs w:val="21"/>
          <w:highlight w:val="none"/>
        </w:rPr>
        <w:t>日内未提出书面异议，则进度款支付函自签署之日起生效。进度款支付函</w:t>
      </w:r>
      <w:r>
        <w:rPr>
          <w:rFonts w:ascii="Times New Roman" w:hAnsi="Times New Roman"/>
          <w:szCs w:val="21"/>
          <w:highlight w:val="none"/>
        </w:rPr>
        <w:t>的生效不免除卖方继续配合买方进行检验和验收的义务，合同材料验收后双方应签署合同材料验收证书。</w:t>
      </w:r>
    </w:p>
    <w:p>
      <w:pPr>
        <w:spacing w:line="360" w:lineRule="auto"/>
        <w:ind w:firstLine="420" w:firstLineChars="200"/>
        <w:outlineLvl w:val="9"/>
        <w:rPr>
          <w:rFonts w:ascii="Times New Roman" w:hAnsi="Times New Roman"/>
          <w:szCs w:val="21"/>
          <w:highlight w:val="none"/>
        </w:rPr>
      </w:pPr>
      <w:r>
        <w:rPr>
          <w:rFonts w:ascii="Times New Roman" w:hAnsi="Times New Roman"/>
          <w:szCs w:val="21"/>
          <w:highlight w:val="none"/>
        </w:rPr>
        <w:t>5.8 合同材料验收证书的签署不能免除卖方在质量保证期内对合同材料应承担的保证责任。</w:t>
      </w:r>
    </w:p>
    <w:p>
      <w:pPr>
        <w:pStyle w:val="3"/>
        <w:rPr>
          <w:rFonts w:ascii="Times New Roman" w:hAnsi="Times New Roman"/>
          <w:bCs/>
          <w:szCs w:val="32"/>
          <w:highlight w:val="none"/>
        </w:rPr>
      </w:pPr>
      <w:bookmarkStart w:id="669" w:name="_Toc1409956262"/>
      <w:bookmarkStart w:id="670" w:name="_Toc501460705"/>
      <w:r>
        <w:rPr>
          <w:rFonts w:ascii="Times New Roman" w:hAnsi="Times New Roman"/>
          <w:bCs/>
          <w:szCs w:val="32"/>
          <w:highlight w:val="none"/>
        </w:rPr>
        <w:t>6. 相关服务</w:t>
      </w:r>
      <w:bookmarkEnd w:id="669"/>
      <w:bookmarkEnd w:id="670"/>
    </w:p>
    <w:p>
      <w:pPr>
        <w:spacing w:line="360" w:lineRule="auto"/>
        <w:ind w:firstLine="420" w:firstLineChars="200"/>
        <w:outlineLvl w:val="9"/>
        <w:rPr>
          <w:rFonts w:ascii="Times New Roman" w:hAnsi="Times New Roman"/>
          <w:szCs w:val="21"/>
          <w:highlight w:val="none"/>
        </w:rPr>
      </w:pPr>
      <w:r>
        <w:rPr>
          <w:rFonts w:ascii="Times New Roman" w:hAnsi="Times New Roman"/>
          <w:szCs w:val="21"/>
          <w:highlight w:val="none"/>
        </w:rPr>
        <w:t>6.1</w:t>
      </w:r>
      <w:r>
        <w:rPr>
          <w:rFonts w:hint="eastAsia" w:ascii="Times New Roman" w:hAnsi="Times New Roman"/>
          <w:szCs w:val="21"/>
          <w:highlight w:val="none"/>
        </w:rPr>
        <w:t xml:space="preserve"> </w:t>
      </w:r>
      <w:r>
        <w:rPr>
          <w:rFonts w:ascii="Times New Roman" w:hAnsi="Times New Roman"/>
          <w:szCs w:val="21"/>
          <w:highlight w:val="none"/>
        </w:rPr>
        <w:t>卖方应配备充足的技术人员，并根据买方要求，通过进行电话联系或派遣技术熟练、称职的技术人员到施工场地为买方提供服务。如果卖方技术人员不合格，买方有权要求卖方撤换，因撤换而产生的费用应由卖方承担。</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6.2</w:t>
      </w:r>
      <w:r>
        <w:rPr>
          <w:rFonts w:hint="eastAsia" w:ascii="Times New Roman" w:hAnsi="Times New Roman"/>
          <w:szCs w:val="21"/>
          <w:highlight w:val="none"/>
        </w:rPr>
        <w:t xml:space="preserve"> </w:t>
      </w:r>
      <w:r>
        <w:rPr>
          <w:rFonts w:ascii="Times New Roman" w:hAnsi="Times New Roman"/>
          <w:szCs w:val="21"/>
          <w:highlight w:val="none"/>
        </w:rPr>
        <w:t>买方应免费为卖方技术人员提供工作条件及便利，包括但不限于必要的办公场所、技术资料及出入许可等。除专用合同条款另有约定外，卖方技术人员的交通、食宿费用由卖方承担。</w:t>
      </w:r>
    </w:p>
    <w:p>
      <w:pPr>
        <w:pStyle w:val="3"/>
        <w:rPr>
          <w:rFonts w:ascii="Times New Roman" w:hAnsi="Times New Roman"/>
          <w:bCs/>
          <w:szCs w:val="32"/>
          <w:highlight w:val="none"/>
        </w:rPr>
      </w:pPr>
      <w:bookmarkStart w:id="671" w:name="_Toc501460706"/>
      <w:bookmarkStart w:id="672" w:name="_Toc1515209893"/>
      <w:r>
        <w:rPr>
          <w:rFonts w:ascii="Times New Roman" w:hAnsi="Times New Roman"/>
          <w:bCs/>
          <w:szCs w:val="32"/>
          <w:highlight w:val="none"/>
        </w:rPr>
        <w:t>7. 质量保证期</w:t>
      </w:r>
      <w:bookmarkEnd w:id="671"/>
      <w:bookmarkEnd w:id="672"/>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7.1 除专用合同条款和（或）供货要求等合同文件另有约定外，合同材料的质量保证期自合同材料验收之日起算，至合同材料验收证书或</w:t>
      </w:r>
      <w:r>
        <w:rPr>
          <w:rStyle w:val="34"/>
          <w:rFonts w:ascii="Times New Roman" w:hAnsi="Times New Roman"/>
          <w:highlight w:val="none"/>
        </w:rPr>
        <w:t>进度款支付函</w:t>
      </w:r>
      <w:r>
        <w:rPr>
          <w:rFonts w:ascii="Times New Roman" w:hAnsi="Times New Roman"/>
          <w:szCs w:val="21"/>
          <w:highlight w:val="none"/>
        </w:rPr>
        <w:t>签署之日起12个月止（以先到的为准）。</w:t>
      </w:r>
    </w:p>
    <w:p>
      <w:pPr>
        <w:spacing w:line="360" w:lineRule="auto"/>
        <w:ind w:firstLine="435"/>
        <w:rPr>
          <w:rFonts w:ascii="Times New Roman" w:hAnsi="Times New Roman"/>
          <w:szCs w:val="21"/>
          <w:highlight w:val="none"/>
        </w:rPr>
      </w:pPr>
      <w:r>
        <w:rPr>
          <w:rFonts w:ascii="Times New Roman" w:hAnsi="Times New Roman"/>
          <w:szCs w:val="21"/>
          <w:highlight w:val="none"/>
        </w:rPr>
        <w:t>7.2 除非因买方使用不当，合同材料在质量保证期内如破损、变质或被发现存在任何质量问题，卖方应负责对合同材料进行修补和退换。更换的合同材料的质量保证期应重新计算。</w:t>
      </w:r>
    </w:p>
    <w:p>
      <w:pPr>
        <w:spacing w:line="360" w:lineRule="auto"/>
        <w:ind w:firstLine="435"/>
        <w:rPr>
          <w:rFonts w:ascii="Times New Roman" w:hAnsi="Times New Roman"/>
          <w:szCs w:val="21"/>
          <w:highlight w:val="none"/>
        </w:rPr>
      </w:pPr>
      <w:r>
        <w:rPr>
          <w:rFonts w:ascii="Times New Roman" w:hAnsi="Times New Roman"/>
          <w:szCs w:val="21"/>
          <w:highlight w:val="none"/>
        </w:rPr>
        <w:t>7.3 质量保证期届满且卖方按照合同约定履行完毕质量保证期内义务后，买方应在7日内向卖方出具合同材料的质量保证期届满证书。</w:t>
      </w:r>
    </w:p>
    <w:p>
      <w:pPr>
        <w:spacing w:line="360" w:lineRule="auto"/>
        <w:ind w:firstLine="435"/>
        <w:rPr>
          <w:rFonts w:ascii="Times New Roman" w:hAnsi="Times New Roman"/>
          <w:szCs w:val="21"/>
          <w:highlight w:val="none"/>
        </w:rPr>
      </w:pPr>
    </w:p>
    <w:p>
      <w:pPr>
        <w:pStyle w:val="3"/>
        <w:rPr>
          <w:rFonts w:ascii="Times New Roman" w:hAnsi="Times New Roman"/>
          <w:bCs/>
          <w:szCs w:val="32"/>
          <w:highlight w:val="none"/>
        </w:rPr>
      </w:pPr>
      <w:bookmarkStart w:id="673" w:name="_Toc501460707"/>
      <w:bookmarkStart w:id="674" w:name="_Toc1743420298"/>
      <w:r>
        <w:rPr>
          <w:rFonts w:ascii="Times New Roman" w:hAnsi="Times New Roman"/>
          <w:bCs/>
          <w:szCs w:val="32"/>
          <w:highlight w:val="none"/>
        </w:rPr>
        <w:t>8. 履约保证金</w:t>
      </w:r>
      <w:bookmarkEnd w:id="673"/>
      <w:bookmarkEnd w:id="674"/>
    </w:p>
    <w:p>
      <w:pPr>
        <w:spacing w:line="360" w:lineRule="auto"/>
        <w:ind w:firstLine="420" w:firstLineChars="200"/>
        <w:outlineLvl w:val="9"/>
        <w:rPr>
          <w:rFonts w:ascii="Times New Roman" w:hAnsi="Times New Roman"/>
          <w:szCs w:val="21"/>
          <w:highlight w:val="none"/>
        </w:rPr>
      </w:pPr>
      <w:r>
        <w:rPr>
          <w:rFonts w:ascii="Times New Roman" w:hAnsi="Times New Roman"/>
          <w:szCs w:val="21"/>
          <w:highlight w:val="none"/>
        </w:rPr>
        <w:t>除专用合同条款另有约定外，履约保证金自合同生效之日起生效，在合同材料验收证书或</w:t>
      </w:r>
      <w:r>
        <w:rPr>
          <w:rStyle w:val="30"/>
          <w:rFonts w:hint="eastAsia" w:ascii="Times New Roman" w:hAnsi="Times New Roman"/>
          <w:szCs w:val="21"/>
          <w:highlight w:val="none"/>
        </w:rPr>
        <w:t>进度款支付函</w:t>
      </w:r>
      <w:r>
        <w:rPr>
          <w:rFonts w:ascii="Times New Roman" w:hAnsi="Times New Roman"/>
          <w:szCs w:val="21"/>
          <w:highlight w:val="none"/>
        </w:rPr>
        <w:t>签署之日起28日后失效。如果卖方不履行合同约定的义务或其履行不符合合同的约定，买方有权扣划相应金额的履约保证金。</w:t>
      </w:r>
    </w:p>
    <w:p>
      <w:pPr>
        <w:pStyle w:val="3"/>
        <w:rPr>
          <w:rFonts w:ascii="Times New Roman" w:hAnsi="Times New Roman"/>
          <w:bCs/>
          <w:szCs w:val="32"/>
          <w:highlight w:val="none"/>
        </w:rPr>
      </w:pPr>
      <w:bookmarkStart w:id="675" w:name="_Toc501460708"/>
      <w:bookmarkStart w:id="676" w:name="_Toc307209179"/>
      <w:r>
        <w:rPr>
          <w:rFonts w:ascii="Times New Roman" w:hAnsi="Times New Roman"/>
          <w:bCs/>
          <w:szCs w:val="32"/>
          <w:highlight w:val="none"/>
        </w:rPr>
        <w:t>9. 保证</w:t>
      </w:r>
      <w:bookmarkEnd w:id="675"/>
      <w:bookmarkEnd w:id="676"/>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9.1 卖方保证其具有完全的能力履行本合同项下的全部义务。</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9.2</w:t>
      </w:r>
      <w:r>
        <w:rPr>
          <w:rFonts w:hint="eastAsia" w:ascii="Times New Roman" w:hAnsi="Times New Roman"/>
          <w:szCs w:val="21"/>
          <w:highlight w:val="none"/>
        </w:rPr>
        <w:t xml:space="preserve"> </w:t>
      </w:r>
      <w:r>
        <w:rPr>
          <w:rFonts w:ascii="Times New Roman" w:hAnsi="Times New Roman"/>
          <w:szCs w:val="21"/>
          <w:highlight w:val="none"/>
        </w:rPr>
        <w:t>卖方保证其所提供的合同材料及对合同的履行符合所有应适用的法律、行政法规、地方性法规、自治条例和单行条例、规章及其他规范性文件的强制性规定。</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9.3</w:t>
      </w:r>
      <w:r>
        <w:rPr>
          <w:rFonts w:hint="eastAsia" w:ascii="Times New Roman" w:hAnsi="Times New Roman"/>
          <w:szCs w:val="21"/>
          <w:highlight w:val="none"/>
        </w:rPr>
        <w:t xml:space="preserve"> </w:t>
      </w:r>
      <w:r>
        <w:rPr>
          <w:rFonts w:ascii="Times New Roman" w:hAnsi="Times New Roman"/>
          <w:szCs w:val="21"/>
          <w:highlight w:val="none"/>
        </w:rPr>
        <w:t>卖方保证其对合同材料的销售不损害任何第三方的合法权益和社会公众利益。任何第三方不会因卖方原因而基于所有权、抵押权、留置权或其他任何权利或事由对合同材料主张权利。</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9.4 卖方保证合同材料符合合同约定的规格、质量标准，并且全新、完整，能够安全使用，除非专用合同条款和（或）供货要求等合同文件另有约定。</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9.5</w:t>
      </w:r>
      <w:r>
        <w:rPr>
          <w:rFonts w:hint="eastAsia" w:ascii="Times New Roman" w:hAnsi="Times New Roman"/>
          <w:szCs w:val="21"/>
          <w:highlight w:val="none"/>
        </w:rPr>
        <w:t xml:space="preserve"> </w:t>
      </w:r>
      <w:r>
        <w:rPr>
          <w:rFonts w:ascii="Times New Roman" w:hAnsi="Times New Roman"/>
          <w:szCs w:val="21"/>
          <w:highlight w:val="none"/>
        </w:rPr>
        <w:t>卖方保证，卖方所提供的技术资料完整、清晰、准确，符合合同约定并且能够满足买方使用合同材料的需要。</w:t>
      </w:r>
    </w:p>
    <w:p>
      <w:pPr>
        <w:tabs>
          <w:tab w:val="left" w:pos="0"/>
          <w:tab w:val="decimal" w:pos="6240"/>
          <w:tab w:val="right" w:leader="dot" w:pos="10800"/>
        </w:tabs>
        <w:autoSpaceDE w:val="0"/>
        <w:autoSpaceDN w:val="0"/>
        <w:adjustRightInd w:val="0"/>
        <w:spacing w:line="360" w:lineRule="auto"/>
        <w:ind w:right="23" w:firstLine="420" w:firstLineChars="200"/>
        <w:rPr>
          <w:rFonts w:ascii="Times New Roman" w:hAnsi="Times New Roman"/>
          <w:szCs w:val="21"/>
          <w:highlight w:val="none"/>
        </w:rPr>
      </w:pPr>
      <w:r>
        <w:rPr>
          <w:rFonts w:ascii="Times New Roman" w:hAnsi="Times New Roman"/>
          <w:szCs w:val="21"/>
          <w:highlight w:val="none"/>
        </w:rPr>
        <w:t xml:space="preserve">9.6 </w:t>
      </w:r>
      <w:r>
        <w:rPr>
          <w:rFonts w:ascii="Times New Roman" w:hAnsi="Times New Roman"/>
          <w:szCs w:val="24"/>
          <w:highlight w:val="none"/>
        </w:rPr>
        <w:t>卖方保证，在合同材料使用寿命期内，如果卖方发现合同材料存在足以危及人身、财产安全的缺陷，卖方将及时通知买方并及时采取修补、更换等措施消除缺陷。</w:t>
      </w:r>
    </w:p>
    <w:p>
      <w:pPr>
        <w:pStyle w:val="3"/>
        <w:rPr>
          <w:rFonts w:ascii="Times New Roman" w:hAnsi="Times New Roman"/>
          <w:highlight w:val="none"/>
        </w:rPr>
      </w:pPr>
      <w:bookmarkStart w:id="677" w:name="_Toc501460709"/>
      <w:bookmarkStart w:id="678" w:name="_Toc1850748708"/>
      <w:r>
        <w:rPr>
          <w:rFonts w:ascii="Times New Roman" w:hAnsi="Times New Roman"/>
          <w:highlight w:val="none"/>
        </w:rPr>
        <w:t>10. 违约责任</w:t>
      </w:r>
      <w:bookmarkEnd w:id="677"/>
      <w:bookmarkEnd w:id="678"/>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10.1 合同一方不履行合同义务、履行合同义务不符合约定或者违反合同项下所作保证的，应向对方承担继续履行、采取补救措施或者赔偿损失等违约责任。</w:t>
      </w:r>
    </w:p>
    <w:p>
      <w:pPr>
        <w:spacing w:line="360" w:lineRule="auto"/>
        <w:ind w:firstLine="420" w:firstLineChars="200"/>
        <w:rPr>
          <w:rFonts w:ascii="Times New Roman" w:hAnsi="Times New Roman"/>
          <w:highlight w:val="none"/>
        </w:rPr>
      </w:pPr>
      <w:r>
        <w:rPr>
          <w:rFonts w:ascii="Times New Roman" w:hAnsi="Times New Roman"/>
          <w:highlight w:val="none"/>
        </w:rPr>
        <w:t>10.2 卖方未能按时交付合同材料的，应向买方支付迟延交货违约金。卖方支付迟延交货违约金，</w:t>
      </w:r>
      <w:r>
        <w:rPr>
          <w:rFonts w:ascii="Times New Roman" w:hAnsi="Times New Roman"/>
          <w:szCs w:val="21"/>
          <w:highlight w:val="none"/>
        </w:rPr>
        <w:t>不能免除其继续交付合同材料的义务。</w:t>
      </w:r>
      <w:r>
        <w:rPr>
          <w:rFonts w:ascii="Times New Roman" w:hAnsi="Times New Roman"/>
          <w:highlight w:val="none"/>
        </w:rPr>
        <w:t>除专用合同条款另有约定外，迟延交付违约金计算方法如下：</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延迟交付违约金=延迟交付材料金额×</w:t>
      </w:r>
      <w:r>
        <w:rPr>
          <w:rFonts w:ascii="Times New Roman" w:hAnsi="Times New Roman"/>
          <w:highlight w:val="none"/>
        </w:rPr>
        <w:t>0.08%</w:t>
      </w:r>
      <w:r>
        <w:rPr>
          <w:rFonts w:ascii="Times New Roman" w:hAnsi="Times New Roman"/>
          <w:szCs w:val="21"/>
          <w:highlight w:val="none"/>
        </w:rPr>
        <w:t>×延迟交货天数。</w:t>
      </w:r>
    </w:p>
    <w:p>
      <w:pPr>
        <w:spacing w:line="360" w:lineRule="auto"/>
        <w:ind w:firstLine="420" w:firstLineChars="200"/>
        <w:rPr>
          <w:rFonts w:ascii="Times New Roman" w:hAnsi="Times New Roman"/>
          <w:szCs w:val="21"/>
          <w:highlight w:val="none"/>
        </w:rPr>
      </w:pPr>
      <w:r>
        <w:rPr>
          <w:rFonts w:ascii="Times New Roman" w:hAnsi="Times New Roman"/>
          <w:highlight w:val="none"/>
        </w:rPr>
        <w:t>迟延交付违约金的最高限额为合同价格的10%。</w:t>
      </w:r>
    </w:p>
    <w:p>
      <w:pPr>
        <w:spacing w:line="360" w:lineRule="auto"/>
        <w:ind w:firstLine="420" w:firstLineChars="200"/>
        <w:rPr>
          <w:rFonts w:ascii="Times New Roman" w:hAnsi="Times New Roman"/>
          <w:highlight w:val="none"/>
        </w:rPr>
      </w:pPr>
      <w:r>
        <w:rPr>
          <w:rFonts w:ascii="Times New Roman" w:hAnsi="Times New Roman"/>
          <w:highlight w:val="none"/>
        </w:rPr>
        <w:t>10.3</w:t>
      </w:r>
      <w:r>
        <w:rPr>
          <w:rFonts w:hint="eastAsia" w:ascii="Times New Roman" w:hAnsi="Times New Roman"/>
          <w:highlight w:val="none"/>
        </w:rPr>
        <w:t xml:space="preserve"> </w:t>
      </w:r>
      <w:r>
        <w:rPr>
          <w:rFonts w:ascii="Times New Roman" w:hAnsi="Times New Roman"/>
          <w:highlight w:val="none"/>
        </w:rPr>
        <w:t>买方未能按合同约定支付</w:t>
      </w:r>
      <w:r>
        <w:rPr>
          <w:rFonts w:hint="eastAsia" w:ascii="Times New Roman" w:hAnsi="Times New Roman"/>
          <w:highlight w:val="none"/>
        </w:rPr>
        <w:t>合同</w:t>
      </w:r>
      <w:r>
        <w:rPr>
          <w:rFonts w:ascii="Times New Roman" w:hAnsi="Times New Roman"/>
          <w:highlight w:val="none"/>
        </w:rPr>
        <w:t>价款</w:t>
      </w:r>
      <w:r>
        <w:rPr>
          <w:rFonts w:hint="eastAsia" w:ascii="Times New Roman" w:hAnsi="Times New Roman"/>
          <w:highlight w:val="none"/>
        </w:rPr>
        <w:t>的</w:t>
      </w:r>
      <w:r>
        <w:rPr>
          <w:rFonts w:ascii="Times New Roman" w:hAnsi="Times New Roman"/>
          <w:highlight w:val="none"/>
        </w:rPr>
        <w:t>，应向卖方支付延迟付款违约金</w:t>
      </w:r>
      <w:r>
        <w:rPr>
          <w:rFonts w:ascii="Times New Roman" w:hAnsi="Times New Roman"/>
          <w:szCs w:val="21"/>
          <w:highlight w:val="none"/>
        </w:rPr>
        <w:t>。除专用合同条款另有约定外，迟延付款违约金的计算方法如下：</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延迟付款违约金=延迟付款金额×</w:t>
      </w:r>
      <w:r>
        <w:rPr>
          <w:rFonts w:ascii="Times New Roman" w:hAnsi="Times New Roman"/>
          <w:highlight w:val="none"/>
        </w:rPr>
        <w:t>0.08%</w:t>
      </w:r>
      <w:r>
        <w:rPr>
          <w:rFonts w:ascii="Times New Roman" w:hAnsi="Times New Roman"/>
          <w:szCs w:val="21"/>
          <w:highlight w:val="none"/>
        </w:rPr>
        <w:t>×延迟付款天数。</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迟延付款违约金的总额不得超过合同价格的10%。</w:t>
      </w:r>
    </w:p>
    <w:p>
      <w:pPr>
        <w:pStyle w:val="3"/>
        <w:rPr>
          <w:rFonts w:ascii="Times New Roman" w:hAnsi="Times New Roman"/>
          <w:highlight w:val="none"/>
        </w:rPr>
      </w:pPr>
      <w:bookmarkStart w:id="679" w:name="_Toc1078113374"/>
      <w:bookmarkStart w:id="680" w:name="_Toc501460710"/>
      <w:r>
        <w:rPr>
          <w:rFonts w:ascii="Times New Roman" w:hAnsi="Times New Roman"/>
          <w:highlight w:val="none"/>
        </w:rPr>
        <w:t>11. 合同的解除</w:t>
      </w:r>
      <w:bookmarkEnd w:id="679"/>
      <w:bookmarkEnd w:id="680"/>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除专用合同条款另有约定外，</w:t>
      </w:r>
      <w:r>
        <w:rPr>
          <w:rFonts w:ascii="Times New Roman" w:hAnsi="Times New Roman"/>
          <w:highlight w:val="none"/>
        </w:rPr>
        <w:t>有下述情形之一，当事人可</w:t>
      </w:r>
      <w:r>
        <w:rPr>
          <w:rFonts w:ascii="Times New Roman" w:hAnsi="Times New Roman"/>
          <w:szCs w:val="21"/>
          <w:highlight w:val="none"/>
        </w:rPr>
        <w:t>发出书面通知全部或部分地解除合同</w:t>
      </w:r>
      <w:r>
        <w:rPr>
          <w:rFonts w:ascii="Times New Roman" w:hAnsi="Times New Roman"/>
          <w:highlight w:val="none"/>
        </w:rPr>
        <w:t>，</w:t>
      </w:r>
      <w:r>
        <w:rPr>
          <w:rFonts w:ascii="Times New Roman" w:hAnsi="Times New Roman"/>
          <w:szCs w:val="21"/>
          <w:highlight w:val="none"/>
        </w:rPr>
        <w:t>合同自通知到达对方时全部或部分地解除：</w:t>
      </w:r>
    </w:p>
    <w:p>
      <w:pPr>
        <w:spacing w:line="360" w:lineRule="auto"/>
        <w:ind w:firstLine="420" w:firstLineChars="200"/>
        <w:rPr>
          <w:rFonts w:ascii="Times New Roman" w:hAnsi="Times New Roman"/>
          <w:highlight w:val="none"/>
        </w:rPr>
      </w:pPr>
      <w:r>
        <w:rPr>
          <w:rFonts w:ascii="Times New Roman" w:hAnsi="Times New Roman"/>
          <w:highlight w:val="none"/>
        </w:rPr>
        <w:t>（1）合同一方当事人无法继续履行或明确表示不履行或实质上已停止履行合同；</w:t>
      </w:r>
    </w:p>
    <w:p>
      <w:pPr>
        <w:spacing w:line="360" w:lineRule="auto"/>
        <w:ind w:firstLine="420" w:firstLineChars="200"/>
        <w:rPr>
          <w:rFonts w:ascii="Times New Roman" w:hAnsi="Times New Roman"/>
          <w:highlight w:val="none"/>
        </w:rPr>
      </w:pPr>
      <w:r>
        <w:rPr>
          <w:rFonts w:ascii="Times New Roman" w:hAnsi="Times New Roman"/>
          <w:highlight w:val="none"/>
        </w:rPr>
        <w:t>（2）合同一方当事人</w:t>
      </w:r>
      <w:r>
        <w:rPr>
          <w:rFonts w:ascii="Times New Roman" w:hAnsi="Times New Roman"/>
          <w:szCs w:val="21"/>
          <w:highlight w:val="none"/>
        </w:rPr>
        <w:t>需支付的违约金已达合同约定的最高限额；</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（3）合同材料未能达到质量标准，或在合同约定了最低质量标准时，不能达到最低质量标准；</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（4）合同一方当事人出现破产、清算、资不抵债、成为失信被执行人等可能丧失履约能力的情形，且未能提供令对方满意的履约保证金；</w:t>
      </w:r>
    </w:p>
    <w:p>
      <w:pPr>
        <w:spacing w:line="360" w:lineRule="auto"/>
        <w:ind w:firstLine="420" w:firstLineChars="200"/>
        <w:rPr>
          <w:rFonts w:ascii="Times New Roman" w:hAnsi="Times New Roman"/>
          <w:highlight w:val="none"/>
        </w:rPr>
      </w:pPr>
      <w:r>
        <w:rPr>
          <w:rFonts w:ascii="Times New Roman" w:hAnsi="Times New Roman"/>
          <w:szCs w:val="21"/>
          <w:highlight w:val="none"/>
        </w:rPr>
        <w:t>（5）因不可抗力不能实现合同目的。</w:t>
      </w:r>
    </w:p>
    <w:p>
      <w:pPr>
        <w:pStyle w:val="3"/>
        <w:rPr>
          <w:rFonts w:ascii="Times New Roman" w:hAnsi="Times New Roman"/>
          <w:bCs/>
          <w:szCs w:val="32"/>
          <w:highlight w:val="none"/>
        </w:rPr>
      </w:pPr>
      <w:bookmarkStart w:id="681" w:name="_Toc2007232912"/>
      <w:bookmarkStart w:id="682" w:name="_Toc501460711"/>
      <w:r>
        <w:rPr>
          <w:rFonts w:ascii="Times New Roman" w:hAnsi="Times New Roman"/>
          <w:bCs/>
          <w:szCs w:val="32"/>
          <w:highlight w:val="none"/>
        </w:rPr>
        <w:t>12. 争议的解决</w:t>
      </w:r>
      <w:bookmarkEnd w:id="681"/>
      <w:bookmarkEnd w:id="682"/>
    </w:p>
    <w:p>
      <w:pPr>
        <w:spacing w:line="360" w:lineRule="auto"/>
        <w:ind w:firstLine="420" w:firstLineChars="200"/>
        <w:rPr>
          <w:rFonts w:ascii="Times New Roman" w:hAnsi="Times New Roman"/>
          <w:szCs w:val="21"/>
          <w:highlight w:val="none"/>
        </w:rPr>
      </w:pPr>
      <w:r>
        <w:rPr>
          <w:rFonts w:ascii="Times New Roman" w:hAnsi="Times New Roman"/>
          <w:color w:val="000000"/>
          <w:highlight w:val="none"/>
          <w:shd w:val="clear" w:color="auto" w:fill="FFFFFF"/>
        </w:rPr>
        <w:t>因本合同引起的或与本合同有关的任何争议,</w:t>
      </w:r>
      <w:r>
        <w:rPr>
          <w:rFonts w:ascii="Times New Roman" w:hAnsi="Times New Roman"/>
          <w:szCs w:val="21"/>
          <w:highlight w:val="none"/>
        </w:rPr>
        <w:t>双方可通过友好协商解决。友好协商解决不成的，可在专用合同条款中约定下列一种方式解决：</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（1）向约定的仲裁委员会申请仲裁；</w:t>
      </w:r>
    </w:p>
    <w:p>
      <w:pPr>
        <w:spacing w:line="360" w:lineRule="auto"/>
        <w:ind w:firstLine="420" w:firstLineChars="200"/>
        <w:rPr>
          <w:rFonts w:ascii="Times New Roman" w:hAnsi="Times New Roman"/>
          <w:szCs w:val="21"/>
          <w:highlight w:val="none"/>
        </w:rPr>
      </w:pPr>
      <w:r>
        <w:rPr>
          <w:rFonts w:ascii="Times New Roman" w:hAnsi="Times New Roman"/>
          <w:szCs w:val="21"/>
          <w:highlight w:val="none"/>
        </w:rPr>
        <w:t>（2）向有管辖权的人民法院提起诉讼。</w:t>
      </w:r>
    </w:p>
    <w:p>
      <w:pPr>
        <w:pStyle w:val="3"/>
        <w:rPr>
          <w:rFonts w:ascii="Times New Roman" w:hAnsi="Times New Roman"/>
          <w:color w:val="000000"/>
          <w:highlight w:val="none"/>
        </w:rPr>
      </w:pPr>
      <w:r>
        <w:rPr>
          <w:rFonts w:ascii="Times New Roman" w:hAnsi="Times New Roman"/>
          <w:color w:val="000000"/>
          <w:highlight w:val="none"/>
        </w:rPr>
        <w:br w:type="page"/>
      </w:r>
    </w:p>
    <w:p>
      <w:pPr>
        <w:pStyle w:val="3"/>
        <w:ind w:firstLine="642" w:firstLineChars="200"/>
        <w:jc w:val="center"/>
        <w:rPr>
          <w:rFonts w:ascii="Times New Roman" w:hAnsi="Times New Roman"/>
          <w:color w:val="000000"/>
          <w:highlight w:val="none"/>
        </w:rPr>
      </w:pPr>
      <w:bookmarkStart w:id="683" w:name="_Toc501460712"/>
      <w:bookmarkStart w:id="684" w:name="_Toc72953389"/>
      <w:r>
        <w:rPr>
          <w:rFonts w:ascii="Times New Roman" w:hAnsi="Times New Roman"/>
          <w:color w:val="000000"/>
          <w:highlight w:val="none"/>
        </w:rPr>
        <w:t>第二节专用合同条款</w:t>
      </w:r>
      <w:bookmarkEnd w:id="683"/>
      <w:bookmarkEnd w:id="684"/>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bCs/>
          <w:sz w:val="21"/>
          <w:szCs w:val="21"/>
          <w:highlight w:val="none"/>
          <w:lang w:val="en-US" w:eastAsia="zh-CN"/>
        </w:rPr>
        <w:t>本专用合同条款仅供参考，由招标人根据实际情况制定。</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1. 一般约定</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1.1.9.1 工程名称：</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1.1.9.2 施工场地为：</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1.1.13 不可抗力其他情形：</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黑体" w:hAnsi="黑体" w:eastAsia="黑体" w:cs="黑体"/>
          <w:b w:val="0"/>
          <w:bCs w:val="0"/>
          <w:sz w:val="28"/>
          <w:szCs w:val="28"/>
          <w:highlight w:val="none"/>
          <w:lang w:val="en-US" w:eastAsia="zh-CN"/>
        </w:rPr>
      </w:pPr>
      <w:r>
        <w:rPr>
          <w:rFonts w:hint="eastAsia" w:ascii="黑体" w:hAnsi="黑体" w:eastAsia="黑体" w:cs="黑体"/>
          <w:b w:val="0"/>
          <w:bCs w:val="0"/>
          <w:sz w:val="28"/>
          <w:szCs w:val="28"/>
          <w:highlight w:val="none"/>
          <w:lang w:val="en-US" w:eastAsia="zh-CN"/>
        </w:rPr>
        <w:t>1.3 合同文件的优先顺序</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解释合同文件的优先顺序：</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黑体" w:hAnsi="黑体" w:eastAsia="黑体" w:cs="黑体"/>
          <w:b w:val="0"/>
          <w:bCs w:val="0"/>
          <w:sz w:val="28"/>
          <w:szCs w:val="28"/>
          <w:highlight w:val="none"/>
          <w:lang w:val="en-US" w:eastAsia="zh-CN"/>
        </w:rPr>
      </w:pPr>
      <w:r>
        <w:rPr>
          <w:rFonts w:hint="eastAsia" w:ascii="黑体" w:hAnsi="黑体" w:eastAsia="黑体" w:cs="黑体"/>
          <w:b w:val="0"/>
          <w:bCs w:val="0"/>
          <w:sz w:val="28"/>
          <w:szCs w:val="28"/>
          <w:highlight w:val="none"/>
          <w:lang w:val="en-US" w:eastAsia="zh-CN"/>
        </w:rPr>
        <w:t>1.4 合同的生效及变更</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1.4.1 要求提供履约担保的，履约担保作为合同生效的前置条件。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合同的生效及变更另有约定：</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黑体" w:hAnsi="黑体" w:eastAsia="黑体" w:cs="黑体"/>
          <w:b w:val="0"/>
          <w:bCs w:val="0"/>
          <w:sz w:val="28"/>
          <w:szCs w:val="28"/>
          <w:highlight w:val="none"/>
          <w:lang w:val="en-US" w:eastAsia="zh-CN"/>
        </w:rPr>
        <w:t>1.5 联络</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1.5.1 买卖双方指定的联系人和联系方式和联系方为：</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买方联系人姓名：</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，职务：</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，联系方式：</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卖方联系人姓名：</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，职务：</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，联系方式：</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黑体" w:hAnsi="黑体" w:eastAsia="黑体" w:cs="黑体"/>
          <w:b w:val="0"/>
          <w:bCs w:val="0"/>
          <w:sz w:val="28"/>
          <w:szCs w:val="28"/>
          <w:highlight w:val="none"/>
          <w:lang w:val="en-US" w:eastAsia="zh-CN"/>
        </w:rPr>
      </w:pPr>
      <w:r>
        <w:rPr>
          <w:rFonts w:hint="eastAsia" w:ascii="黑体" w:hAnsi="黑体" w:eastAsia="黑体" w:cs="黑体"/>
          <w:b w:val="0"/>
          <w:bCs w:val="0"/>
          <w:sz w:val="28"/>
          <w:szCs w:val="28"/>
          <w:highlight w:val="none"/>
          <w:lang w:val="en-US" w:eastAsia="zh-CN"/>
        </w:rPr>
        <w:t>1.6 联合体</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联合体牵头人的另有约定：</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3. 合同价格与支付</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黑体" w:hAnsi="黑体" w:eastAsia="黑体" w:cs="黑体"/>
          <w:b w:val="0"/>
          <w:bCs w:val="0"/>
          <w:sz w:val="28"/>
          <w:szCs w:val="28"/>
          <w:highlight w:val="none"/>
          <w:lang w:val="en-US" w:eastAsia="zh-CN"/>
        </w:rPr>
        <w:t>3.1 合同价格</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3.1.2 合同价格形式采用单价合同</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因分项报价表清单数量及项目的变化的分项报价表单价调整方法：</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因原材料市场价格波动引起的分项报价表单价调整方法为：</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黑体" w:hAnsi="黑体" w:eastAsia="黑体" w:cs="黑体"/>
          <w:b w:val="0"/>
          <w:bCs w:val="0"/>
          <w:sz w:val="28"/>
          <w:szCs w:val="28"/>
          <w:highlight w:val="none"/>
          <w:lang w:val="en-US" w:eastAsia="zh-CN"/>
        </w:rPr>
      </w:pPr>
      <w:r>
        <w:rPr>
          <w:rFonts w:hint="eastAsia" w:ascii="黑体" w:hAnsi="黑体" w:eastAsia="黑体" w:cs="黑体"/>
          <w:b w:val="0"/>
          <w:bCs w:val="0"/>
          <w:sz w:val="28"/>
          <w:szCs w:val="28"/>
          <w:highlight w:val="none"/>
          <w:lang w:val="en-US" w:eastAsia="zh-CN"/>
        </w:rPr>
        <w:t xml:space="preserve">3.2 合同价款的支付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3.2.1 预付款</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预付款 </w:t>
      </w:r>
      <w:r>
        <w:rPr>
          <w:rFonts w:hint="eastAsia" w:ascii="宋体" w:hAnsi="宋体" w:eastAsia="宋体" w:cs="宋体"/>
          <w:b w:val="0"/>
          <w:bCs w:val="0"/>
          <w:sz w:val="21"/>
          <w:szCs w:val="21"/>
          <w:highlight w:val="none"/>
          <w:u w:val="single"/>
          <w:lang w:val="en-US" w:eastAsia="zh-CN"/>
        </w:rPr>
        <w:t xml:space="preserve">支付或不支付 </w:t>
      </w:r>
      <w:r>
        <w:rPr>
          <w:rFonts w:hint="eastAsia" w:ascii="宋体" w:hAnsi="宋体" w:eastAsia="宋体" w:cs="宋体"/>
          <w:b w:val="0"/>
          <w:bCs w:val="0"/>
          <w:sz w:val="21"/>
          <w:szCs w:val="21"/>
          <w:highlight w:val="none"/>
          <w:lang w:val="en-US" w:eastAsia="zh-CN"/>
        </w:rPr>
        <w:t>。支付预付款的，合同生效后，买方在收到卖方提供的同等金额的预付款（应当符合国家有关现行规定）和开具的注明应付预付款金额的财务收据正本一份并经审核无误后 28 日内，向卖方支付签约合同价(不含暂列金和暂估价)的</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%作为预付款。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3.2.4 增加：交货款、验收款、结清款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交货款、验收款、结清款支付约定：</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质量保证金的约定：</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在工程项目竣工前，已经缴纳履约保证金的，买方不得同时预留工程质量保证金。采用工程质量保证担保、工程质量保险等其他保证方式的，买方不得再预留保证金。缺陷责任期内，卖方认真履行合同约定的责任；到期后，卖方向买方申请返还保证金。买方在接到卖方返还保证金申请后，应于 14 天内会同卖方按照合同约定的内容进行核实。如无异议，买方应当按照约定将保证金返还给卖方。对返还期限没有约定或者约定不明确的，买方应当在核实后 14 天内将保证金返还卖方，逾期未返还的，依法承担违约责任。买方在接到卖方返还保证金申请后 14 天内不予答复，经催告后 14 天内仍不予答复，视同认可承包人的返还保证金申请。对于预留保证金的比例，买方应按照合同约定方式预留保证金，保证金总预留比例不得高于合同价款结算总额的 3%。合同约定由卖方以银行保函替代预留保证金的，保函金额不得高于合同价款结算总额的 3%。</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4.包装、标记、运输和交付</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黑体" w:hAnsi="黑体" w:eastAsia="黑体" w:cs="黑体"/>
          <w:b w:val="0"/>
          <w:bCs w:val="0"/>
          <w:sz w:val="28"/>
          <w:szCs w:val="28"/>
          <w:highlight w:val="none"/>
          <w:lang w:val="en-US" w:eastAsia="zh-CN"/>
        </w:rPr>
      </w:pPr>
      <w:r>
        <w:rPr>
          <w:rFonts w:hint="eastAsia" w:ascii="黑体" w:hAnsi="黑体" w:eastAsia="黑体" w:cs="黑体"/>
          <w:b w:val="0"/>
          <w:bCs w:val="0"/>
          <w:sz w:val="28"/>
          <w:szCs w:val="28"/>
          <w:highlight w:val="none"/>
          <w:lang w:val="en-US" w:eastAsia="zh-CN"/>
        </w:rPr>
        <w:t xml:space="preserve">4.1 包装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4.1.2 包装物的处理：</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黑体" w:hAnsi="黑体" w:eastAsia="黑体" w:cs="黑体"/>
          <w:b w:val="0"/>
          <w:bCs w:val="0"/>
          <w:sz w:val="28"/>
          <w:szCs w:val="28"/>
          <w:highlight w:val="none"/>
          <w:lang w:val="en-US" w:eastAsia="zh-CN"/>
        </w:rPr>
        <w:t>4.3 运输</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4.3.2 运输的另有约定：</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黑体" w:hAnsi="黑体" w:eastAsia="黑体" w:cs="黑体"/>
          <w:b w:val="0"/>
          <w:bCs w:val="0"/>
          <w:sz w:val="28"/>
          <w:szCs w:val="28"/>
          <w:highlight w:val="none"/>
          <w:lang w:val="en-US" w:eastAsia="zh-CN"/>
        </w:rPr>
      </w:pPr>
      <w:r>
        <w:rPr>
          <w:rFonts w:hint="eastAsia" w:ascii="黑体" w:hAnsi="黑体" w:eastAsia="黑体" w:cs="黑体"/>
          <w:b w:val="0"/>
          <w:bCs w:val="0"/>
          <w:sz w:val="28"/>
          <w:szCs w:val="28"/>
          <w:highlight w:val="none"/>
          <w:lang w:val="en-US" w:eastAsia="zh-CN"/>
        </w:rPr>
        <w:t xml:space="preserve">4.4 交付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4.4.1 卖方应按本合同条款第 5 条签署合同材料验收证书后将合同材料交付给买方。</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卖方提供的本项目采购材料运输到项目现场指定位置后，无论卸货承担方是安装单位还是卖方（应当与安装单位合同文件衔接、匹配，避免漏项或重复计算），均由卖方提供卸货安全操作指导书，由监理工程师审核卸货方完整的卸货实施方案后由卸货承担方执行。卖方承担卸货的，买方应当向卖方提供相应的现场卸货便利条件。具体卸货承担方约定：</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分批交付及进度表计划要求：</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4.4.3 卖方技术资料因卖方存在短缺和（或）损坏以及买方丢失和（或）损坏时，卖方向买方补齐的费用约定：</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5.检验和验收</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5.2 合同材料交付后，买方应在 期限内安排对合同材料的规格、质量等进行检验。检验按照 进行。</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5.5 若合同约定了合同材料的最低质量标准，且合同材料经检验达到了合同约定的最低质量标准的，视为合同材料符合质量标准，买方应验收合同材料，但卖方应按</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进行减价或向买方支付补偿金。</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5.7 除</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外，买方在全部合同材料交付后 3 个月内未安排检验和验收的，卖方可签署进度款支付函提交买方，如买方在收到后 7 日内未提出书面异议，则进度款支付函自签署之日起生效。进度款支付函的生效不免除卖方继续配合买方进行检验和验收的义务，合同材料验收后双方应签署合同材料验收证书。</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6. 技术服务</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6.2 卖方技术人员的交通、食宿费用由</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承担。</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7. 质量保证期</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7.1 合同材料的质量保证期为</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起 </w:t>
      </w:r>
      <w:r>
        <w:rPr>
          <w:rFonts w:hint="eastAsia" w:ascii="宋体" w:hAnsi="宋体" w:eastAsia="宋体" w:cs="宋体"/>
          <w:b w:val="0"/>
          <w:bCs w:val="0"/>
          <w:sz w:val="21"/>
          <w:szCs w:val="21"/>
          <w:highlight w:val="none"/>
          <w:u w:val="single"/>
          <w:lang w:val="en-US" w:eastAsia="zh-CN"/>
        </w:rPr>
        <w:t xml:space="preserve">（按卖方承诺填写）        </w:t>
      </w:r>
      <w:r>
        <w:rPr>
          <w:rFonts w:hint="eastAsia" w:ascii="宋体" w:hAnsi="宋体" w:eastAsia="宋体" w:cs="宋体"/>
          <w:b w:val="0"/>
          <w:bCs w:val="0"/>
          <w:sz w:val="21"/>
          <w:szCs w:val="21"/>
          <w:highlight w:val="none"/>
          <w:lang w:val="en-US" w:eastAsia="zh-CN"/>
        </w:rPr>
        <w:t xml:space="preserve"> 个月。</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b w:val="0"/>
          <w:bCs w:val="0"/>
          <w:sz w:val="21"/>
          <w:szCs w:val="21"/>
          <w:highlight w:val="none"/>
          <w:lang w:val="en-US" w:eastAsia="zh-CN"/>
        </w:rPr>
      </w:pPr>
      <w:r>
        <w:rPr>
          <w:rFonts w:hint="eastAsia" w:ascii="黑体" w:hAnsi="黑体" w:eastAsia="黑体" w:cs="黑体"/>
          <w:b w:val="0"/>
          <w:bCs w:val="0"/>
          <w:sz w:val="32"/>
          <w:szCs w:val="32"/>
          <w:highlight w:val="none"/>
          <w:lang w:val="en-US" w:eastAsia="zh-CN"/>
        </w:rPr>
        <w:t xml:space="preserve">8. 履约保证金 </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履约保证金生效、失效日期：</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9. 保证</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9.4 卖方保证合同材料符合合同约定的规格、质量标准，并且全新、完整，能够安全使用，除非专用合同条款和（或）供货要求等合同文件另有约定：</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10. 违约责任</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迟延交付违约金计算方法的另有约定：</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11. 合同的解除</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合同解除的另有约定：</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12. 争议的解决</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因本合同引起的或与本合同有关的任何争议,双方可通过友好协商解决。友好协商解决不</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成的，可在专用合同条款中约定下列</w:t>
      </w:r>
      <w:r>
        <w:rPr>
          <w:rFonts w:hint="eastAsia" w:ascii="宋体" w:hAnsi="宋体" w:eastAsia="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lang w:val="en-US" w:eastAsia="zh-CN"/>
        </w:rPr>
        <w:t>种方式解决：</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（1）向约定的仲裁委员会申请仲裁；</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（2）向有管辖权的人民法院提起诉讼。</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13. 其他约定</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u w:val="single"/>
          <w:lang w:val="en-US" w:eastAsia="zh-CN"/>
        </w:rPr>
        <w:t xml:space="preserve">                                                                               </w:t>
      </w:r>
    </w:p>
    <w:p>
      <w:pPr>
        <w:pStyle w:val="3"/>
        <w:ind w:firstLine="105"/>
        <w:rPr>
          <w:rFonts w:ascii="Times New Roman" w:hAnsi="Times New Roman"/>
          <w:color w:val="000000"/>
          <w:highlight w:val="none"/>
        </w:rPr>
      </w:pPr>
      <w:r>
        <w:rPr>
          <w:rFonts w:ascii="Times New Roman" w:hAnsi="Times New Roman"/>
          <w:color w:val="000000"/>
          <w:highlight w:val="none"/>
        </w:rPr>
        <w:br w:type="page"/>
      </w:r>
    </w:p>
    <w:p>
      <w:pPr>
        <w:pStyle w:val="3"/>
        <w:ind w:firstLine="642" w:firstLineChars="200"/>
        <w:jc w:val="center"/>
        <w:rPr>
          <w:rFonts w:ascii="Times New Roman" w:hAnsi="Times New Roman"/>
          <w:color w:val="000000"/>
          <w:highlight w:val="none"/>
        </w:rPr>
      </w:pPr>
      <w:bookmarkStart w:id="685" w:name="_Toc424597498"/>
      <w:bookmarkStart w:id="686" w:name="_Toc501460713"/>
      <w:r>
        <w:rPr>
          <w:rFonts w:ascii="Times New Roman" w:hAnsi="Times New Roman"/>
          <w:color w:val="000000"/>
          <w:highlight w:val="none"/>
        </w:rPr>
        <w:t>第三节合同附件格式</w:t>
      </w:r>
      <w:bookmarkEnd w:id="685"/>
      <w:bookmarkEnd w:id="686"/>
    </w:p>
    <w:p>
      <w:pPr>
        <w:pStyle w:val="4"/>
        <w:ind w:firstLine="137"/>
        <w:jc w:val="left"/>
        <w:rPr>
          <w:rFonts w:ascii="Times New Roman" w:hAnsi="Times New Roman"/>
          <w:color w:val="000000"/>
          <w:highlight w:val="none"/>
        </w:rPr>
      </w:pPr>
      <w:r>
        <w:rPr>
          <w:rFonts w:ascii="Times New Roman" w:hAnsi="Times New Roman"/>
          <w:color w:val="000000"/>
          <w:highlight w:val="none"/>
        </w:rPr>
        <w:br w:type="page"/>
      </w:r>
      <w:bookmarkStart w:id="687" w:name="_Toc525149884"/>
      <w:bookmarkStart w:id="688" w:name="_Toc501460714"/>
      <w:r>
        <w:rPr>
          <w:rFonts w:ascii="Times New Roman" w:hAnsi="Times New Roman"/>
          <w:color w:val="000000"/>
          <w:highlight w:val="none"/>
        </w:rPr>
        <w:t>附件一：合同协议书</w:t>
      </w:r>
      <w:bookmarkEnd w:id="687"/>
      <w:bookmarkEnd w:id="688"/>
    </w:p>
    <w:p>
      <w:pPr>
        <w:spacing w:line="440" w:lineRule="exact"/>
        <w:jc w:val="center"/>
        <w:rPr>
          <w:rFonts w:ascii="Times New Roman" w:hAnsi="Times New Roman" w:eastAsia="黑体"/>
          <w:color w:val="000000"/>
          <w:sz w:val="28"/>
          <w:highlight w:val="none"/>
        </w:rPr>
      </w:pPr>
      <w:r>
        <w:rPr>
          <w:rFonts w:ascii="Times New Roman" w:hAnsi="Times New Roman" w:eastAsia="黑体"/>
          <w:color w:val="000000"/>
          <w:sz w:val="28"/>
          <w:highlight w:val="none"/>
        </w:rPr>
        <w:t>合同协议书</w:t>
      </w:r>
    </w:p>
    <w:p>
      <w:pPr>
        <w:spacing w:line="440" w:lineRule="exact"/>
        <w:rPr>
          <w:rFonts w:ascii="Times New Roman" w:hAnsi="Times New Roman"/>
          <w:color w:val="000000"/>
          <w:highlight w:val="none"/>
        </w:rPr>
      </w:pPr>
    </w:p>
    <w:p>
      <w:pPr>
        <w:spacing w:line="440" w:lineRule="exact"/>
        <w:ind w:firstLine="359" w:firstLineChars="171"/>
        <w:rPr>
          <w:rFonts w:ascii="Times New Roman" w:hAnsi="Times New Roman"/>
          <w:szCs w:val="21"/>
          <w:highlight w:val="none"/>
        </w:rPr>
      </w:pPr>
      <w:r>
        <w:rPr>
          <w:rFonts w:ascii="Times New Roman" w:hAnsi="Times New Roman"/>
          <w:szCs w:val="21"/>
          <w:highlight w:val="none"/>
          <w:u w:val="single"/>
        </w:rPr>
        <w:t xml:space="preserve">                   </w:t>
      </w:r>
      <w:r>
        <w:rPr>
          <w:rFonts w:ascii="Times New Roman" w:hAnsi="Times New Roman"/>
          <w:szCs w:val="21"/>
          <w:highlight w:val="none"/>
        </w:rPr>
        <w:t>（买方名称，以下简称“买方”）为获得</w:t>
      </w:r>
      <w:r>
        <w:rPr>
          <w:rFonts w:ascii="Times New Roman" w:hAnsi="Times New Roman"/>
          <w:szCs w:val="21"/>
          <w:highlight w:val="none"/>
          <w:u w:val="single"/>
        </w:rPr>
        <w:t xml:space="preserve">                </w:t>
      </w:r>
      <w:r>
        <w:rPr>
          <w:rFonts w:ascii="Times New Roman" w:hAnsi="Times New Roman"/>
          <w:szCs w:val="21"/>
          <w:highlight w:val="none"/>
        </w:rPr>
        <w:t>（项目名称）合同材料和相关服务，已接受</w:t>
      </w:r>
      <w:r>
        <w:rPr>
          <w:rFonts w:ascii="Times New Roman" w:hAnsi="Times New Roman"/>
          <w:szCs w:val="21"/>
          <w:highlight w:val="none"/>
          <w:u w:val="single"/>
        </w:rPr>
        <w:t xml:space="preserve">                    </w:t>
      </w:r>
      <w:r>
        <w:rPr>
          <w:rFonts w:ascii="Times New Roman" w:hAnsi="Times New Roman"/>
          <w:szCs w:val="21"/>
          <w:highlight w:val="none"/>
        </w:rPr>
        <w:t>（卖方名称，以下简称“卖方”）为提供上述合同材料和相关服务所作的投标，买方和卖方共同达成如下协议：</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1. 本协议书与下列文件一起构成合同文件：</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（1）中标通知书；</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（2）投标函；</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（3）商务和技术偏差表；</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（4）专用合同条款；</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（5）通用合同条款；</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w:t>
      </w:r>
      <w:r>
        <w:rPr>
          <w:rFonts w:hint="eastAsia" w:ascii="Times New Roman" w:hAnsi="Times New Roman"/>
          <w:szCs w:val="21"/>
          <w:highlight w:val="none"/>
        </w:rPr>
        <w:t>6</w:t>
      </w:r>
      <w:r>
        <w:rPr>
          <w:rFonts w:ascii="Times New Roman" w:hAnsi="Times New Roman"/>
          <w:szCs w:val="21"/>
          <w:highlight w:val="none"/>
        </w:rPr>
        <w:t>）供货要求；</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w:t>
      </w:r>
      <w:r>
        <w:rPr>
          <w:rFonts w:hint="eastAsia" w:ascii="Times New Roman" w:hAnsi="Times New Roman"/>
          <w:szCs w:val="21"/>
          <w:highlight w:val="none"/>
        </w:rPr>
        <w:t>7</w:t>
      </w:r>
      <w:r>
        <w:rPr>
          <w:rFonts w:ascii="Times New Roman" w:hAnsi="Times New Roman"/>
          <w:szCs w:val="21"/>
          <w:highlight w:val="none"/>
        </w:rPr>
        <w:t>）分项报价表；</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w:t>
      </w:r>
      <w:r>
        <w:rPr>
          <w:rFonts w:hint="eastAsia" w:ascii="Times New Roman" w:hAnsi="Times New Roman"/>
          <w:szCs w:val="21"/>
          <w:highlight w:val="none"/>
        </w:rPr>
        <w:t>8</w:t>
      </w:r>
      <w:r>
        <w:rPr>
          <w:rFonts w:ascii="Times New Roman" w:hAnsi="Times New Roman"/>
          <w:szCs w:val="21"/>
          <w:highlight w:val="none"/>
        </w:rPr>
        <w:t>）中标材料质量标准的详细描述；</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w:t>
      </w:r>
      <w:r>
        <w:rPr>
          <w:rFonts w:hint="eastAsia" w:ascii="Times New Roman" w:hAnsi="Times New Roman"/>
          <w:szCs w:val="21"/>
          <w:highlight w:val="none"/>
        </w:rPr>
        <w:t>9</w:t>
      </w:r>
      <w:r>
        <w:rPr>
          <w:rFonts w:ascii="Times New Roman" w:hAnsi="Times New Roman"/>
          <w:szCs w:val="21"/>
          <w:highlight w:val="none"/>
        </w:rPr>
        <w:t>）相关服务计划；</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（10）其他合同文件。</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2. 上述合同文件互相补充和解释。如果合同文件之间存在矛盾或不一致之处，以上述文件的排列顺序在先者为准。</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3. 签约合同价：人民币（大写）</w:t>
      </w:r>
      <w:r>
        <w:rPr>
          <w:rFonts w:ascii="Times New Roman" w:hAnsi="Times New Roman"/>
          <w:color w:val="000000"/>
          <w:highlight w:val="none"/>
          <w:u w:val="single"/>
        </w:rPr>
        <w:t xml:space="preserve">              </w:t>
      </w:r>
      <w:r>
        <w:rPr>
          <w:rFonts w:ascii="Times New Roman" w:hAnsi="Times New Roman"/>
          <w:szCs w:val="21"/>
          <w:highlight w:val="none"/>
        </w:rPr>
        <w:t>（¥</w:t>
      </w:r>
      <w:r>
        <w:rPr>
          <w:rFonts w:ascii="Times New Roman" w:hAnsi="Times New Roman"/>
          <w:color w:val="000000"/>
          <w:highlight w:val="none"/>
          <w:u w:val="single"/>
        </w:rPr>
        <w:t xml:space="preserve">              </w:t>
      </w:r>
      <w:r>
        <w:rPr>
          <w:rFonts w:ascii="Times New Roman" w:hAnsi="Times New Roman"/>
          <w:szCs w:val="21"/>
          <w:highlight w:val="none"/>
        </w:rPr>
        <w:t>）。</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4. 卖方承诺保证完全按照合同约定提供合同材料和相关服务并修补缺陷。</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5. 买方承诺保证按照合同约定的条件、时间和方式向卖方支付合同价款。</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6. 本合同协议书一式</w:t>
      </w:r>
      <w:r>
        <w:rPr>
          <w:rFonts w:ascii="Times New Roman" w:hAnsi="Times New Roman"/>
          <w:color w:val="000000"/>
          <w:highlight w:val="none"/>
          <w:u w:val="single"/>
        </w:rPr>
        <w:t xml:space="preserve">       </w:t>
      </w:r>
      <w:r>
        <w:rPr>
          <w:rFonts w:ascii="Times New Roman" w:hAnsi="Times New Roman"/>
          <w:szCs w:val="21"/>
          <w:highlight w:val="none"/>
        </w:rPr>
        <w:t>份，合同双方各执</w:t>
      </w:r>
      <w:r>
        <w:rPr>
          <w:rFonts w:ascii="Times New Roman" w:hAnsi="Times New Roman"/>
          <w:color w:val="000000"/>
          <w:highlight w:val="none"/>
          <w:u w:val="single"/>
        </w:rPr>
        <w:t xml:space="preserve">       </w:t>
      </w:r>
      <w:r>
        <w:rPr>
          <w:rFonts w:ascii="Times New Roman" w:hAnsi="Times New Roman"/>
          <w:szCs w:val="21"/>
          <w:highlight w:val="none"/>
        </w:rPr>
        <w:t>份。</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7. 合同未尽事宜，双方另行签订补充协议，补充协议是合同的组成部分。</w:t>
      </w:r>
    </w:p>
    <w:p>
      <w:pPr>
        <w:adjustRightInd w:val="0"/>
        <w:snapToGrid w:val="0"/>
        <w:rPr>
          <w:rFonts w:ascii="Times New Roman" w:hAnsi="Times New Roman"/>
          <w:szCs w:val="21"/>
          <w:highlight w:val="none"/>
        </w:rPr>
      </w:pPr>
    </w:p>
    <w:p>
      <w:pPr>
        <w:tabs>
          <w:tab w:val="left" w:pos="4395"/>
        </w:tabs>
        <w:spacing w:line="440" w:lineRule="exact"/>
        <w:ind w:firstLine="2625" w:firstLineChars="1250"/>
        <w:rPr>
          <w:rFonts w:ascii="Times New Roman" w:hAnsi="Times New Roman"/>
          <w:szCs w:val="21"/>
          <w:highlight w:val="none"/>
        </w:rPr>
      </w:pPr>
      <w:r>
        <w:rPr>
          <w:rFonts w:ascii="Times New Roman" w:hAnsi="Times New Roman"/>
          <w:szCs w:val="21"/>
          <w:highlight w:val="none"/>
        </w:rPr>
        <w:t>买方：</w:t>
      </w:r>
      <w:r>
        <w:rPr>
          <w:rFonts w:ascii="Times New Roman" w:hAnsi="Times New Roman"/>
          <w:color w:val="000000"/>
          <w:highlight w:val="none"/>
          <w:u w:val="single"/>
        </w:rPr>
        <w:t xml:space="preserve">                                      </w:t>
      </w:r>
      <w:r>
        <w:rPr>
          <w:rFonts w:ascii="Times New Roman" w:hAnsi="Times New Roman"/>
          <w:szCs w:val="21"/>
          <w:highlight w:val="none"/>
        </w:rPr>
        <w:t>（盖单位章）</w:t>
      </w:r>
      <w:r>
        <w:rPr>
          <w:rFonts w:ascii="Times New Roman" w:hAnsi="Times New Roman"/>
          <w:szCs w:val="21"/>
          <w:highlight w:val="none"/>
        </w:rPr>
        <w:tab/>
      </w:r>
    </w:p>
    <w:p>
      <w:pPr>
        <w:tabs>
          <w:tab w:val="left" w:pos="4395"/>
        </w:tabs>
        <w:spacing w:line="440" w:lineRule="exact"/>
        <w:ind w:firstLine="2625" w:firstLineChars="1250"/>
        <w:rPr>
          <w:rFonts w:ascii="Times New Roman" w:hAnsi="Times New Roman"/>
          <w:szCs w:val="21"/>
          <w:highlight w:val="none"/>
        </w:rPr>
      </w:pPr>
      <w:r>
        <w:rPr>
          <w:rFonts w:ascii="Times New Roman" w:hAnsi="Times New Roman"/>
          <w:szCs w:val="21"/>
          <w:highlight w:val="none"/>
        </w:rPr>
        <w:t>法定代表人（单位负责人）或其委托代理人：</w:t>
      </w:r>
      <w:r>
        <w:rPr>
          <w:rFonts w:ascii="Times New Roman" w:hAnsi="Times New Roman"/>
          <w:color w:val="000000"/>
          <w:highlight w:val="none"/>
          <w:u w:val="single"/>
        </w:rPr>
        <w:t xml:space="preserve">         </w:t>
      </w:r>
      <w:r>
        <w:rPr>
          <w:rFonts w:ascii="Times New Roman" w:hAnsi="Times New Roman"/>
          <w:szCs w:val="21"/>
          <w:highlight w:val="none"/>
        </w:rPr>
        <w:t>（签字）</w:t>
      </w:r>
    </w:p>
    <w:p>
      <w:pPr>
        <w:spacing w:line="600" w:lineRule="exact"/>
        <w:ind w:firstLine="4258" w:firstLineChars="2028"/>
        <w:rPr>
          <w:rFonts w:ascii="Times New Roman" w:hAnsi="Times New Roman"/>
          <w:szCs w:val="21"/>
          <w:highlight w:val="none"/>
        </w:rPr>
      </w:pPr>
      <w:r>
        <w:rPr>
          <w:rFonts w:ascii="Times New Roman" w:hAnsi="Times New Roman"/>
          <w:szCs w:val="21"/>
          <w:highlight w:val="none"/>
        </w:rPr>
        <w:tab/>
      </w:r>
      <w:r>
        <w:rPr>
          <w:rFonts w:ascii="Times New Roman" w:hAnsi="Times New Roman"/>
          <w:color w:val="000000"/>
          <w:highlight w:val="none"/>
          <w:u w:val="single"/>
        </w:rPr>
        <w:t xml:space="preserve">       </w:t>
      </w:r>
      <w:r>
        <w:rPr>
          <w:rFonts w:ascii="Times New Roman" w:hAnsi="Times New Roman"/>
          <w:color w:val="000000"/>
          <w:highlight w:val="none"/>
        </w:rPr>
        <w:t>年</w:t>
      </w:r>
      <w:r>
        <w:rPr>
          <w:rFonts w:ascii="Times New Roman" w:hAnsi="Times New Roman"/>
          <w:color w:val="000000"/>
          <w:highlight w:val="none"/>
          <w:u w:val="single"/>
        </w:rPr>
        <w:t xml:space="preserve">       </w:t>
      </w:r>
      <w:r>
        <w:rPr>
          <w:rFonts w:ascii="Times New Roman" w:hAnsi="Times New Roman"/>
          <w:color w:val="000000"/>
          <w:highlight w:val="none"/>
        </w:rPr>
        <w:t>月</w:t>
      </w:r>
      <w:r>
        <w:rPr>
          <w:rFonts w:ascii="Times New Roman" w:hAnsi="Times New Roman"/>
          <w:color w:val="000000"/>
          <w:highlight w:val="none"/>
          <w:u w:val="single"/>
        </w:rPr>
        <w:t xml:space="preserve">       </w:t>
      </w:r>
      <w:r>
        <w:rPr>
          <w:rFonts w:ascii="Times New Roman" w:hAnsi="Times New Roman"/>
          <w:color w:val="000000"/>
          <w:highlight w:val="none"/>
        </w:rPr>
        <w:t>日</w:t>
      </w:r>
    </w:p>
    <w:p>
      <w:pPr>
        <w:tabs>
          <w:tab w:val="left" w:pos="4395"/>
        </w:tabs>
        <w:spacing w:line="440" w:lineRule="exact"/>
        <w:rPr>
          <w:rFonts w:ascii="Times New Roman" w:hAnsi="Times New Roman"/>
          <w:szCs w:val="21"/>
          <w:highlight w:val="none"/>
        </w:rPr>
      </w:pPr>
    </w:p>
    <w:p>
      <w:pPr>
        <w:tabs>
          <w:tab w:val="left" w:pos="4395"/>
        </w:tabs>
        <w:spacing w:line="440" w:lineRule="exact"/>
        <w:rPr>
          <w:rFonts w:ascii="Times New Roman" w:hAnsi="Times New Roman"/>
          <w:szCs w:val="21"/>
          <w:highlight w:val="none"/>
        </w:rPr>
      </w:pPr>
    </w:p>
    <w:p>
      <w:pPr>
        <w:tabs>
          <w:tab w:val="left" w:pos="4395"/>
        </w:tabs>
        <w:spacing w:line="440" w:lineRule="exact"/>
        <w:ind w:firstLine="2520" w:firstLineChars="1200"/>
        <w:rPr>
          <w:rFonts w:ascii="Times New Roman" w:hAnsi="Times New Roman"/>
          <w:szCs w:val="21"/>
          <w:highlight w:val="none"/>
        </w:rPr>
      </w:pPr>
      <w:r>
        <w:rPr>
          <w:rFonts w:ascii="Times New Roman" w:hAnsi="Times New Roman"/>
          <w:szCs w:val="21"/>
          <w:highlight w:val="none"/>
        </w:rPr>
        <w:t>卖方：</w:t>
      </w:r>
      <w:r>
        <w:rPr>
          <w:rFonts w:ascii="Times New Roman" w:hAnsi="Times New Roman"/>
          <w:color w:val="000000"/>
          <w:highlight w:val="none"/>
          <w:u w:val="single"/>
        </w:rPr>
        <w:t xml:space="preserve">                                        </w:t>
      </w:r>
      <w:r>
        <w:rPr>
          <w:rFonts w:ascii="Times New Roman" w:hAnsi="Times New Roman"/>
          <w:szCs w:val="21"/>
          <w:highlight w:val="none"/>
        </w:rPr>
        <w:t>（盖单位章）</w:t>
      </w:r>
    </w:p>
    <w:p>
      <w:pPr>
        <w:tabs>
          <w:tab w:val="left" w:pos="4395"/>
        </w:tabs>
        <w:spacing w:line="440" w:lineRule="exact"/>
        <w:ind w:firstLine="2520" w:firstLineChars="1200"/>
        <w:rPr>
          <w:rFonts w:ascii="Times New Roman" w:hAnsi="Times New Roman"/>
          <w:szCs w:val="21"/>
          <w:highlight w:val="none"/>
        </w:rPr>
      </w:pPr>
      <w:r>
        <w:rPr>
          <w:rFonts w:ascii="Times New Roman" w:hAnsi="Times New Roman"/>
          <w:szCs w:val="21"/>
          <w:highlight w:val="none"/>
        </w:rPr>
        <w:t>法定代表人（单位负责人）或其委托代理人：</w:t>
      </w:r>
      <w:r>
        <w:rPr>
          <w:rFonts w:ascii="Times New Roman" w:hAnsi="Times New Roman"/>
          <w:color w:val="000000"/>
          <w:highlight w:val="none"/>
          <w:u w:val="single"/>
        </w:rPr>
        <w:t xml:space="preserve">          </w:t>
      </w:r>
      <w:r>
        <w:rPr>
          <w:rFonts w:ascii="Times New Roman" w:hAnsi="Times New Roman"/>
          <w:szCs w:val="21"/>
          <w:highlight w:val="none"/>
        </w:rPr>
        <w:t>（签字）</w:t>
      </w:r>
    </w:p>
    <w:p>
      <w:pPr>
        <w:spacing w:line="600" w:lineRule="exact"/>
        <w:ind w:firstLine="4258" w:firstLineChars="2028"/>
        <w:rPr>
          <w:rFonts w:ascii="Times New Roman" w:hAnsi="Times New Roman"/>
          <w:highlight w:val="none"/>
        </w:rPr>
      </w:pPr>
      <w:r>
        <w:rPr>
          <w:rFonts w:ascii="Times New Roman" w:hAnsi="Times New Roman"/>
          <w:color w:val="000000"/>
          <w:highlight w:val="none"/>
          <w:u w:val="single"/>
        </w:rPr>
        <w:t xml:space="preserve">       </w:t>
      </w:r>
      <w:r>
        <w:rPr>
          <w:rFonts w:ascii="Times New Roman" w:hAnsi="Times New Roman"/>
          <w:color w:val="000000"/>
          <w:highlight w:val="none"/>
        </w:rPr>
        <w:t>年</w:t>
      </w:r>
      <w:r>
        <w:rPr>
          <w:rFonts w:ascii="Times New Roman" w:hAnsi="Times New Roman"/>
          <w:color w:val="000000"/>
          <w:highlight w:val="none"/>
          <w:u w:val="single"/>
        </w:rPr>
        <w:t xml:space="preserve">       </w:t>
      </w:r>
      <w:r>
        <w:rPr>
          <w:rFonts w:ascii="Times New Roman" w:hAnsi="Times New Roman"/>
          <w:color w:val="000000"/>
          <w:highlight w:val="none"/>
        </w:rPr>
        <w:t>月</w:t>
      </w:r>
      <w:r>
        <w:rPr>
          <w:rFonts w:ascii="Times New Roman" w:hAnsi="Times New Roman"/>
          <w:color w:val="000000"/>
          <w:highlight w:val="none"/>
          <w:u w:val="single"/>
        </w:rPr>
        <w:t xml:space="preserve">       </w:t>
      </w:r>
      <w:r>
        <w:rPr>
          <w:rFonts w:ascii="Times New Roman" w:hAnsi="Times New Roman"/>
          <w:color w:val="000000"/>
          <w:highlight w:val="none"/>
        </w:rPr>
        <w:t>日</w:t>
      </w:r>
    </w:p>
    <w:p>
      <w:pPr>
        <w:adjustRightInd w:val="0"/>
        <w:snapToGrid w:val="0"/>
        <w:rPr>
          <w:rFonts w:ascii="Times New Roman" w:hAnsi="Times New Roman"/>
          <w:szCs w:val="21"/>
          <w:highlight w:val="none"/>
        </w:rPr>
      </w:pPr>
      <w:r>
        <w:rPr>
          <w:rFonts w:ascii="Times New Roman" w:hAnsi="Times New Roman"/>
          <w:szCs w:val="21"/>
          <w:highlight w:val="none"/>
        </w:rPr>
        <w:br w:type="page"/>
      </w:r>
    </w:p>
    <w:p>
      <w:pPr>
        <w:spacing w:line="440" w:lineRule="exact"/>
        <w:ind w:firstLine="420" w:firstLineChars="200"/>
        <w:jc w:val="right"/>
        <w:rPr>
          <w:rFonts w:ascii="Times New Roman" w:hAnsi="Times New Roman"/>
          <w:szCs w:val="21"/>
          <w:highlight w:val="none"/>
          <w:u w:val="single"/>
        </w:rPr>
      </w:pPr>
    </w:p>
    <w:p>
      <w:pPr>
        <w:pStyle w:val="4"/>
        <w:ind w:firstLine="137"/>
        <w:rPr>
          <w:rFonts w:ascii="Times New Roman" w:hAnsi="Times New Roman"/>
          <w:highlight w:val="none"/>
        </w:rPr>
      </w:pPr>
      <w:bookmarkStart w:id="689" w:name="_Toc1534442035"/>
      <w:bookmarkStart w:id="690" w:name="_Toc501460715"/>
      <w:r>
        <w:rPr>
          <w:rFonts w:ascii="Times New Roman" w:hAnsi="Times New Roman"/>
          <w:highlight w:val="none"/>
        </w:rPr>
        <w:t>附件二：履约保证金格式</w:t>
      </w:r>
      <w:bookmarkEnd w:id="689"/>
      <w:bookmarkEnd w:id="690"/>
    </w:p>
    <w:p>
      <w:pPr>
        <w:spacing w:line="440" w:lineRule="exact"/>
        <w:rPr>
          <w:rFonts w:ascii="Times New Roman" w:hAnsi="Times New Roman"/>
          <w:szCs w:val="21"/>
          <w:highlight w:val="none"/>
        </w:rPr>
      </w:pPr>
      <w:r>
        <w:rPr>
          <w:rFonts w:ascii="Times New Roman" w:hAnsi="Times New Roman"/>
          <w:szCs w:val="21"/>
          <w:highlight w:val="none"/>
        </w:rPr>
        <w:t>如采用银行保函，格式如下。</w:t>
      </w:r>
    </w:p>
    <w:p>
      <w:pPr>
        <w:spacing w:line="440" w:lineRule="exact"/>
        <w:jc w:val="center"/>
        <w:rPr>
          <w:rFonts w:ascii="Times New Roman" w:hAnsi="Times New Roman" w:eastAsia="黑体"/>
          <w:color w:val="000000"/>
          <w:sz w:val="28"/>
          <w:highlight w:val="none"/>
        </w:rPr>
      </w:pPr>
      <w:r>
        <w:rPr>
          <w:rFonts w:ascii="Times New Roman" w:hAnsi="Times New Roman" w:eastAsia="黑体"/>
          <w:color w:val="000000"/>
          <w:sz w:val="28"/>
          <w:highlight w:val="none"/>
        </w:rPr>
        <w:t>履约保证金</w:t>
      </w:r>
    </w:p>
    <w:p>
      <w:pPr>
        <w:spacing w:line="440" w:lineRule="exact"/>
        <w:jc w:val="center"/>
        <w:rPr>
          <w:rFonts w:ascii="Times New Roman" w:hAnsi="Times New Roman"/>
          <w:highlight w:val="none"/>
          <w:u w:val="single"/>
        </w:rPr>
      </w:pPr>
    </w:p>
    <w:p>
      <w:pPr>
        <w:spacing w:line="440" w:lineRule="exact"/>
        <w:rPr>
          <w:rFonts w:ascii="Times New Roman" w:hAnsi="Times New Roman"/>
          <w:highlight w:val="none"/>
        </w:rPr>
      </w:pPr>
      <w:r>
        <w:rPr>
          <w:rFonts w:ascii="Times New Roman" w:hAnsi="Times New Roman"/>
          <w:color w:val="000000"/>
          <w:highlight w:val="none"/>
          <w:u w:val="single"/>
        </w:rPr>
        <w:t xml:space="preserve">                     </w:t>
      </w:r>
      <w:r>
        <w:rPr>
          <w:rFonts w:ascii="Times New Roman" w:hAnsi="Times New Roman"/>
          <w:highlight w:val="none"/>
        </w:rPr>
        <w:t>（买方名称）：</w:t>
      </w:r>
    </w:p>
    <w:p>
      <w:pPr>
        <w:spacing w:line="440" w:lineRule="exact"/>
        <w:rPr>
          <w:rFonts w:ascii="Times New Roman" w:hAnsi="Times New Roman"/>
          <w:szCs w:val="21"/>
          <w:highlight w:val="none"/>
        </w:rPr>
      </w:pPr>
    </w:p>
    <w:p>
      <w:pPr>
        <w:spacing w:line="440" w:lineRule="exact"/>
        <w:ind w:firstLine="420" w:firstLineChars="200"/>
        <w:rPr>
          <w:rFonts w:ascii="Times New Roman" w:hAnsi="Times New Roman"/>
          <w:highlight w:val="none"/>
        </w:rPr>
      </w:pPr>
      <w:r>
        <w:rPr>
          <w:rFonts w:ascii="Times New Roman" w:hAnsi="Times New Roman"/>
          <w:highlight w:val="none"/>
        </w:rPr>
        <w:t>鉴于（买方名称，以下简称“买方”）接受（</w:t>
      </w:r>
      <w:r>
        <w:rPr>
          <w:rFonts w:ascii="Times New Roman" w:hAnsi="Times New Roman"/>
          <w:szCs w:val="21"/>
          <w:highlight w:val="none"/>
        </w:rPr>
        <w:t>卖方</w:t>
      </w:r>
      <w:r>
        <w:rPr>
          <w:rFonts w:ascii="Times New Roman" w:hAnsi="Times New Roman"/>
          <w:highlight w:val="none"/>
        </w:rPr>
        <w:t>名称，以下</w:t>
      </w:r>
      <w:r>
        <w:rPr>
          <w:rFonts w:ascii="Times New Roman" w:hAnsi="Times New Roman"/>
          <w:szCs w:val="21"/>
          <w:highlight w:val="none"/>
        </w:rPr>
        <w:t>称“卖方”</w:t>
      </w:r>
      <w:r>
        <w:rPr>
          <w:rFonts w:ascii="Times New Roman" w:hAnsi="Times New Roman"/>
          <w:highlight w:val="none"/>
        </w:rPr>
        <w:t>）于</w:t>
      </w:r>
      <w:r>
        <w:rPr>
          <w:rFonts w:ascii="Times New Roman" w:hAnsi="Times New Roman"/>
          <w:color w:val="000000"/>
          <w:highlight w:val="none"/>
          <w:u w:val="single"/>
        </w:rPr>
        <w:t xml:space="preserve">       </w:t>
      </w:r>
      <w:r>
        <w:rPr>
          <w:rFonts w:ascii="Times New Roman" w:hAnsi="Times New Roman"/>
          <w:highlight w:val="none"/>
        </w:rPr>
        <w:t>年</w:t>
      </w:r>
      <w:r>
        <w:rPr>
          <w:rFonts w:ascii="Times New Roman" w:hAnsi="Times New Roman"/>
          <w:color w:val="000000"/>
          <w:highlight w:val="none"/>
          <w:u w:val="single"/>
        </w:rPr>
        <w:t xml:space="preserve">       </w:t>
      </w:r>
      <w:r>
        <w:rPr>
          <w:rFonts w:ascii="Times New Roman" w:hAnsi="Times New Roman"/>
          <w:highlight w:val="none"/>
        </w:rPr>
        <w:t>月</w:t>
      </w:r>
    </w:p>
    <w:p>
      <w:pPr>
        <w:spacing w:line="440" w:lineRule="exact"/>
        <w:rPr>
          <w:rFonts w:ascii="Times New Roman" w:hAnsi="Times New Roman"/>
          <w:highlight w:val="none"/>
        </w:rPr>
      </w:pPr>
      <w:r>
        <w:rPr>
          <w:rFonts w:ascii="Times New Roman" w:hAnsi="Times New Roman"/>
          <w:color w:val="000000"/>
          <w:highlight w:val="none"/>
          <w:u w:val="single"/>
        </w:rPr>
        <w:t xml:space="preserve">       </w:t>
      </w:r>
      <w:r>
        <w:rPr>
          <w:rFonts w:ascii="Times New Roman" w:hAnsi="Times New Roman"/>
          <w:highlight w:val="none"/>
        </w:rPr>
        <w:t>日参加</w:t>
      </w:r>
      <w:r>
        <w:rPr>
          <w:rFonts w:ascii="Times New Roman" w:hAnsi="Times New Roman"/>
          <w:color w:val="000000"/>
          <w:highlight w:val="none"/>
          <w:u w:val="single"/>
        </w:rPr>
        <w:t xml:space="preserve">                     </w:t>
      </w:r>
      <w:r>
        <w:rPr>
          <w:rFonts w:hint="eastAsia" w:ascii="Times New Roman" w:hAnsi="Times New Roman"/>
          <w:color w:val="000000"/>
          <w:highlight w:val="none"/>
        </w:rPr>
        <w:t>（项目名称）</w:t>
      </w:r>
      <w:r>
        <w:rPr>
          <w:rFonts w:ascii="Times New Roman" w:hAnsi="Times New Roman"/>
          <w:color w:val="000000"/>
          <w:highlight w:val="none"/>
        </w:rPr>
        <w:t>材料采购招标项目</w:t>
      </w:r>
      <w:r>
        <w:rPr>
          <w:rFonts w:ascii="Times New Roman" w:hAnsi="Times New Roman"/>
          <w:highlight w:val="none"/>
        </w:rPr>
        <w:t>的投标。我方愿意无条件地、不可撤销地就</w:t>
      </w:r>
      <w:r>
        <w:rPr>
          <w:rFonts w:ascii="Times New Roman" w:hAnsi="Times New Roman"/>
          <w:szCs w:val="21"/>
          <w:highlight w:val="none"/>
        </w:rPr>
        <w:t>卖方</w:t>
      </w:r>
      <w:r>
        <w:rPr>
          <w:rFonts w:ascii="Times New Roman" w:hAnsi="Times New Roman"/>
          <w:highlight w:val="none"/>
        </w:rPr>
        <w:t>履行与你方订立的合同，向你方提供担保。</w:t>
      </w:r>
    </w:p>
    <w:p>
      <w:pPr>
        <w:spacing w:line="440" w:lineRule="exact"/>
        <w:ind w:firstLine="420" w:firstLineChars="200"/>
        <w:rPr>
          <w:rFonts w:ascii="Times New Roman" w:hAnsi="Times New Roman"/>
          <w:highlight w:val="none"/>
        </w:rPr>
      </w:pPr>
      <w:r>
        <w:rPr>
          <w:rFonts w:ascii="Times New Roman" w:hAnsi="Times New Roman"/>
          <w:highlight w:val="none"/>
        </w:rPr>
        <w:t>1. 担保金额人民币（大写）</w:t>
      </w:r>
      <w:r>
        <w:rPr>
          <w:rFonts w:ascii="Times New Roman" w:hAnsi="Times New Roman"/>
          <w:color w:val="000000"/>
          <w:highlight w:val="none"/>
          <w:u w:val="single"/>
        </w:rPr>
        <w:t xml:space="preserve">              </w:t>
      </w:r>
      <w:r>
        <w:rPr>
          <w:rFonts w:ascii="Times New Roman" w:hAnsi="Times New Roman"/>
          <w:highlight w:val="none"/>
        </w:rPr>
        <w:t>（¥</w:t>
      </w:r>
      <w:r>
        <w:rPr>
          <w:rFonts w:ascii="Times New Roman" w:hAnsi="Times New Roman"/>
          <w:color w:val="000000"/>
          <w:highlight w:val="none"/>
          <w:u w:val="single"/>
        </w:rPr>
        <w:t xml:space="preserve">              </w:t>
      </w:r>
      <w:r>
        <w:rPr>
          <w:rFonts w:ascii="Times New Roman" w:hAnsi="Times New Roman"/>
          <w:highlight w:val="none"/>
        </w:rPr>
        <w:t>）。</w:t>
      </w:r>
    </w:p>
    <w:p>
      <w:pPr>
        <w:spacing w:line="440" w:lineRule="exact"/>
        <w:ind w:firstLine="420" w:firstLineChars="200"/>
        <w:rPr>
          <w:rFonts w:ascii="Times New Roman" w:hAnsi="Times New Roman"/>
          <w:highlight w:val="none"/>
        </w:rPr>
      </w:pPr>
      <w:r>
        <w:rPr>
          <w:rFonts w:ascii="Times New Roman" w:hAnsi="Times New Roman"/>
          <w:highlight w:val="none"/>
        </w:rPr>
        <w:t>2. 担保</w:t>
      </w:r>
      <w:r>
        <w:rPr>
          <w:rFonts w:ascii="Times New Roman" w:hAnsi="Times New Roman"/>
          <w:szCs w:val="21"/>
          <w:highlight w:val="none"/>
        </w:rPr>
        <w:t>有效期</w:t>
      </w:r>
      <w:r>
        <w:rPr>
          <w:rFonts w:ascii="Times New Roman" w:hAnsi="Times New Roman"/>
          <w:highlight w:val="none"/>
        </w:rPr>
        <w:t>自买方与</w:t>
      </w:r>
      <w:r>
        <w:rPr>
          <w:rFonts w:ascii="Times New Roman" w:hAnsi="Times New Roman"/>
          <w:szCs w:val="21"/>
          <w:highlight w:val="none"/>
        </w:rPr>
        <w:t>卖方</w:t>
      </w:r>
      <w:r>
        <w:rPr>
          <w:rFonts w:ascii="Times New Roman" w:hAnsi="Times New Roman"/>
          <w:highlight w:val="none"/>
        </w:rPr>
        <w:t>签订的合同生效之日起至合同材料验收证书或验收款支付函签署之日起28日后失效。</w:t>
      </w:r>
    </w:p>
    <w:p>
      <w:pPr>
        <w:spacing w:line="440" w:lineRule="exact"/>
        <w:ind w:firstLine="420" w:firstLineChars="200"/>
        <w:rPr>
          <w:rFonts w:ascii="Times New Roman" w:hAnsi="Times New Roman"/>
          <w:highlight w:val="none"/>
        </w:rPr>
      </w:pPr>
      <w:r>
        <w:rPr>
          <w:rFonts w:ascii="Times New Roman" w:hAnsi="Times New Roman"/>
          <w:highlight w:val="none"/>
        </w:rPr>
        <w:t>3. 在本担保有效期内，</w:t>
      </w:r>
      <w:r>
        <w:rPr>
          <w:rFonts w:ascii="Times New Roman" w:hAnsi="Times New Roman"/>
          <w:szCs w:val="21"/>
          <w:highlight w:val="none"/>
        </w:rPr>
        <w:t>如果卖方不履行合同约定的义务或其履行不符合合同的约定，</w:t>
      </w:r>
      <w:r>
        <w:rPr>
          <w:rFonts w:ascii="Times New Roman" w:hAnsi="Times New Roman"/>
          <w:highlight w:val="none"/>
        </w:rPr>
        <w:t>我方在收到你方以书面形式提出的在担保金额内的赔偿要求后，在7日内无条件支付。</w:t>
      </w:r>
    </w:p>
    <w:p>
      <w:pPr>
        <w:spacing w:line="440" w:lineRule="exact"/>
        <w:ind w:firstLine="420" w:firstLineChars="200"/>
        <w:rPr>
          <w:rFonts w:ascii="Times New Roman" w:hAnsi="Times New Roman"/>
          <w:highlight w:val="none"/>
        </w:rPr>
      </w:pPr>
      <w:r>
        <w:rPr>
          <w:rFonts w:ascii="Times New Roman" w:hAnsi="Times New Roman"/>
          <w:highlight w:val="none"/>
        </w:rPr>
        <w:t>4. 买方和</w:t>
      </w:r>
      <w:r>
        <w:rPr>
          <w:rFonts w:ascii="Times New Roman" w:hAnsi="Times New Roman"/>
          <w:szCs w:val="21"/>
          <w:highlight w:val="none"/>
        </w:rPr>
        <w:t>卖方</w:t>
      </w:r>
      <w:r>
        <w:rPr>
          <w:rFonts w:ascii="Times New Roman" w:hAnsi="Times New Roman"/>
          <w:highlight w:val="none"/>
        </w:rPr>
        <w:t>变更合同时，无论我方是否收到该变更，我方承担本担保规定的义务不变。</w:t>
      </w:r>
    </w:p>
    <w:p>
      <w:pPr>
        <w:spacing w:line="440" w:lineRule="exact"/>
        <w:rPr>
          <w:rFonts w:ascii="Times New Roman" w:hAnsi="Times New Roman"/>
          <w:color w:val="000000"/>
          <w:highlight w:val="none"/>
        </w:rPr>
      </w:pPr>
    </w:p>
    <w:p>
      <w:pPr>
        <w:spacing w:line="600" w:lineRule="exact"/>
        <w:ind w:firstLine="2310" w:firstLineChars="1100"/>
        <w:rPr>
          <w:rFonts w:ascii="Times New Roman" w:hAnsi="Times New Roman"/>
          <w:color w:val="000000"/>
          <w:highlight w:val="none"/>
        </w:rPr>
      </w:pPr>
      <w:r>
        <w:rPr>
          <w:rFonts w:hint="eastAsia" w:ascii="Times New Roman" w:hAnsi="Times New Roman"/>
          <w:color w:val="000000"/>
          <w:highlight w:val="none"/>
        </w:rPr>
        <w:t>担保人名称</w:t>
      </w:r>
      <w:r>
        <w:rPr>
          <w:rFonts w:ascii="Times New Roman" w:hAnsi="Times New Roman"/>
          <w:color w:val="000000"/>
          <w:highlight w:val="none"/>
        </w:rPr>
        <w:t xml:space="preserve"> ：</w:t>
      </w:r>
      <w:r>
        <w:rPr>
          <w:rFonts w:ascii="Times New Roman" w:hAnsi="Times New Roman"/>
          <w:color w:val="000000"/>
          <w:highlight w:val="none"/>
          <w:u w:val="single"/>
        </w:rPr>
        <w:t xml:space="preserve">                               </w:t>
      </w:r>
      <w:r>
        <w:rPr>
          <w:rFonts w:ascii="Times New Roman" w:hAnsi="Times New Roman"/>
          <w:color w:val="000000"/>
          <w:highlight w:val="none"/>
        </w:rPr>
        <w:t>（盖单位章）</w:t>
      </w:r>
    </w:p>
    <w:p>
      <w:pPr>
        <w:spacing w:line="600" w:lineRule="exact"/>
        <w:ind w:firstLine="2310" w:firstLineChars="1100"/>
        <w:rPr>
          <w:rFonts w:ascii="Times New Roman" w:hAnsi="Times New Roman"/>
          <w:color w:val="000000"/>
          <w:highlight w:val="none"/>
        </w:rPr>
      </w:pPr>
      <w:r>
        <w:rPr>
          <w:rFonts w:ascii="Times New Roman" w:hAnsi="Times New Roman"/>
          <w:color w:val="000000"/>
          <w:highlight w:val="none"/>
        </w:rPr>
        <w:t>法定代表人（单位负责人）或其委托代理人：</w:t>
      </w:r>
      <w:r>
        <w:rPr>
          <w:rFonts w:ascii="Times New Roman" w:hAnsi="Times New Roman"/>
          <w:color w:val="000000"/>
          <w:highlight w:val="none"/>
          <w:u w:val="single"/>
        </w:rPr>
        <w:t xml:space="preserve">          </w:t>
      </w:r>
      <w:r>
        <w:rPr>
          <w:rFonts w:ascii="Times New Roman" w:hAnsi="Times New Roman"/>
          <w:color w:val="000000"/>
          <w:highlight w:val="none"/>
        </w:rPr>
        <w:t>（签字）</w:t>
      </w:r>
    </w:p>
    <w:p>
      <w:pPr>
        <w:spacing w:line="600" w:lineRule="exact"/>
        <w:ind w:firstLine="2310" w:firstLineChars="1100"/>
        <w:rPr>
          <w:rFonts w:ascii="Times New Roman" w:hAnsi="Times New Roman"/>
          <w:color w:val="000000"/>
          <w:highlight w:val="none"/>
        </w:rPr>
      </w:pPr>
      <w:r>
        <w:rPr>
          <w:rFonts w:ascii="Times New Roman" w:hAnsi="Times New Roman"/>
          <w:color w:val="000000"/>
          <w:highlight w:val="none"/>
        </w:rPr>
        <w:t>地    址：</w:t>
      </w:r>
      <w:r>
        <w:rPr>
          <w:rFonts w:ascii="Times New Roman" w:hAnsi="Times New Roman"/>
          <w:color w:val="000000"/>
          <w:highlight w:val="none"/>
          <w:u w:val="single"/>
        </w:rPr>
        <w:t xml:space="preserve">                                                  </w:t>
      </w:r>
    </w:p>
    <w:p>
      <w:pPr>
        <w:spacing w:line="600" w:lineRule="exact"/>
        <w:ind w:firstLine="2310" w:firstLineChars="1100"/>
        <w:rPr>
          <w:rFonts w:ascii="Times New Roman" w:hAnsi="Times New Roman"/>
          <w:color w:val="000000"/>
          <w:highlight w:val="none"/>
        </w:rPr>
      </w:pPr>
      <w:r>
        <w:rPr>
          <w:rFonts w:ascii="Times New Roman" w:hAnsi="Times New Roman"/>
          <w:color w:val="000000"/>
          <w:highlight w:val="none"/>
        </w:rPr>
        <w:t>邮政编码：</w:t>
      </w:r>
      <w:r>
        <w:rPr>
          <w:rFonts w:ascii="Times New Roman" w:hAnsi="Times New Roman"/>
          <w:color w:val="000000"/>
          <w:highlight w:val="none"/>
          <w:u w:val="single"/>
        </w:rPr>
        <w:tab/>
      </w:r>
      <w:r>
        <w:rPr>
          <w:rFonts w:ascii="Times New Roman" w:hAnsi="Times New Roman"/>
          <w:color w:val="000000"/>
          <w:highlight w:val="none"/>
          <w:u w:val="single"/>
        </w:rPr>
        <w:tab/>
      </w:r>
      <w:r>
        <w:rPr>
          <w:rFonts w:ascii="Times New Roman" w:hAnsi="Times New Roman"/>
          <w:color w:val="000000"/>
          <w:highlight w:val="none"/>
          <w:u w:val="single"/>
        </w:rPr>
        <w:tab/>
      </w:r>
      <w:r>
        <w:rPr>
          <w:rFonts w:ascii="Times New Roman" w:hAnsi="Times New Roman"/>
          <w:color w:val="000000"/>
          <w:highlight w:val="none"/>
          <w:u w:val="single"/>
        </w:rPr>
        <w:tab/>
      </w:r>
      <w:r>
        <w:rPr>
          <w:rFonts w:ascii="Times New Roman" w:hAnsi="Times New Roman"/>
          <w:color w:val="000000"/>
          <w:highlight w:val="none"/>
          <w:u w:val="single"/>
        </w:rPr>
        <w:t xml:space="preserve">              </w:t>
      </w:r>
      <w:r>
        <w:rPr>
          <w:rFonts w:ascii="Times New Roman" w:hAnsi="Times New Roman"/>
          <w:color w:val="000000"/>
          <w:highlight w:val="none"/>
          <w:u w:val="single"/>
        </w:rPr>
        <w:tab/>
      </w:r>
      <w:r>
        <w:rPr>
          <w:rFonts w:ascii="Times New Roman" w:hAnsi="Times New Roman"/>
          <w:color w:val="000000"/>
          <w:highlight w:val="none"/>
          <w:u w:val="single"/>
        </w:rPr>
        <w:tab/>
      </w:r>
      <w:r>
        <w:rPr>
          <w:rFonts w:ascii="Times New Roman" w:hAnsi="Times New Roman"/>
          <w:color w:val="000000"/>
          <w:highlight w:val="none"/>
          <w:u w:val="single"/>
        </w:rPr>
        <w:tab/>
      </w:r>
      <w:r>
        <w:rPr>
          <w:rFonts w:ascii="Times New Roman" w:hAnsi="Times New Roman"/>
          <w:color w:val="000000"/>
          <w:highlight w:val="none"/>
          <w:u w:val="single"/>
        </w:rPr>
        <w:t xml:space="preserve">          </w:t>
      </w:r>
    </w:p>
    <w:p>
      <w:pPr>
        <w:spacing w:line="600" w:lineRule="exact"/>
        <w:ind w:firstLine="2310" w:firstLineChars="1100"/>
        <w:rPr>
          <w:rFonts w:ascii="Times New Roman" w:hAnsi="Times New Roman"/>
          <w:color w:val="000000"/>
          <w:highlight w:val="none"/>
        </w:rPr>
      </w:pPr>
      <w:r>
        <w:rPr>
          <w:rFonts w:ascii="Times New Roman" w:hAnsi="Times New Roman"/>
          <w:color w:val="000000"/>
          <w:highlight w:val="none"/>
        </w:rPr>
        <w:t>电    话：</w:t>
      </w:r>
      <w:r>
        <w:rPr>
          <w:rFonts w:ascii="Times New Roman" w:hAnsi="Times New Roman"/>
          <w:color w:val="000000"/>
          <w:highlight w:val="none"/>
          <w:u w:val="single"/>
        </w:rPr>
        <w:t xml:space="preserve">                                                  </w:t>
      </w:r>
    </w:p>
    <w:p>
      <w:pPr>
        <w:autoSpaceDE w:val="0"/>
        <w:autoSpaceDN w:val="0"/>
        <w:adjustRightInd w:val="0"/>
        <w:spacing w:line="400" w:lineRule="exact"/>
        <w:jc w:val="right"/>
        <w:rPr>
          <w:color w:val="000000"/>
          <w:highlight w:val="none"/>
        </w:rPr>
      </w:pPr>
      <w:r>
        <w:rPr>
          <w:rFonts w:ascii="Times New Roman" w:hAnsi="Times New Roman"/>
          <w:color w:val="000000"/>
          <w:highlight w:val="none"/>
          <w:u w:val="single"/>
        </w:rPr>
        <w:t xml:space="preserve">       </w:t>
      </w:r>
      <w:r>
        <w:rPr>
          <w:rFonts w:ascii="Times New Roman" w:hAnsi="Times New Roman"/>
          <w:color w:val="000000"/>
          <w:highlight w:val="none"/>
        </w:rPr>
        <w:t>年</w:t>
      </w:r>
      <w:r>
        <w:rPr>
          <w:rFonts w:ascii="Times New Roman" w:hAnsi="Times New Roman"/>
          <w:color w:val="000000"/>
          <w:highlight w:val="none"/>
          <w:u w:val="single"/>
        </w:rPr>
        <w:t xml:space="preserve">       </w:t>
      </w:r>
      <w:r>
        <w:rPr>
          <w:rFonts w:ascii="Times New Roman" w:hAnsi="Times New Roman"/>
          <w:color w:val="000000"/>
          <w:highlight w:val="none"/>
        </w:rPr>
        <w:t>月</w:t>
      </w:r>
      <w:r>
        <w:rPr>
          <w:rFonts w:ascii="Times New Roman" w:hAnsi="Times New Roman"/>
          <w:color w:val="000000"/>
          <w:highlight w:val="none"/>
          <w:u w:val="single"/>
        </w:rPr>
        <w:t xml:space="preserve">       </w:t>
      </w:r>
      <w:r>
        <w:rPr>
          <w:rFonts w:ascii="Times New Roman" w:hAnsi="Times New Roman"/>
          <w:color w:val="000000"/>
          <w:highlight w:val="none"/>
        </w:rPr>
        <w:t>日</w:t>
      </w:r>
    </w:p>
    <w:p>
      <w:pPr>
        <w:pStyle w:val="4"/>
        <w:keepNext/>
        <w:keepLines/>
        <w:spacing w:before="260" w:after="260" w:line="415" w:lineRule="auto"/>
        <w:ind w:firstLine="137"/>
        <w:outlineLvl w:val="1"/>
        <w:rPr>
          <w:rFonts w:hint="eastAsia" w:ascii="Times New Roman" w:hAnsi="Times New Roman" w:eastAsia="仿宋_GB2312"/>
          <w:szCs w:val="28"/>
          <w:highlight w:val="none"/>
        </w:rPr>
      </w:pPr>
    </w:p>
    <w:p>
      <w:pPr>
        <w:pStyle w:val="4"/>
        <w:keepNext/>
        <w:keepLines/>
        <w:spacing w:before="260" w:after="260" w:line="415" w:lineRule="auto"/>
        <w:ind w:firstLine="137"/>
        <w:outlineLvl w:val="1"/>
        <w:rPr>
          <w:rFonts w:ascii="Times New Roman" w:hAnsi="Times New Roman" w:eastAsia="仿宋_GB2312"/>
          <w:sz w:val="28"/>
          <w:szCs w:val="28"/>
          <w:highlight w:val="none"/>
        </w:rPr>
      </w:pPr>
      <w:bookmarkStart w:id="691" w:name="_Toc56558205"/>
      <w:r>
        <w:rPr>
          <w:rFonts w:hint="eastAsia" w:ascii="Times New Roman" w:hAnsi="Times New Roman" w:eastAsia="仿宋_GB2312"/>
          <w:szCs w:val="28"/>
          <w:highlight w:val="none"/>
        </w:rPr>
        <w:t>附件</w:t>
      </w:r>
      <w:r>
        <w:rPr>
          <w:rFonts w:hint="eastAsia" w:ascii="Times New Roman" w:hAnsi="Times New Roman"/>
          <w:highlight w:val="none"/>
        </w:rPr>
        <w:t>三</w:t>
      </w:r>
      <w:r>
        <w:rPr>
          <w:rFonts w:hint="eastAsia" w:ascii="Times New Roman" w:hAnsi="Times New Roman" w:eastAsia="仿宋_GB2312"/>
          <w:szCs w:val="28"/>
          <w:highlight w:val="none"/>
        </w:rPr>
        <w:t>：廉政合同</w:t>
      </w:r>
      <w:bookmarkEnd w:id="691"/>
    </w:p>
    <w:p>
      <w:pPr>
        <w:ind w:firstLine="420" w:firstLineChars="200"/>
        <w:rPr>
          <w:rFonts w:ascii="仿宋_GB2312" w:hAnsi="仿宋_GB2312" w:eastAsia="仿宋_GB2312" w:cs="仿宋_GB2312"/>
          <w:szCs w:val="21"/>
          <w:highlight w:val="none"/>
        </w:rPr>
      </w:pPr>
      <w:r>
        <w:rPr>
          <w:rFonts w:hint="eastAsia" w:ascii="仿宋_GB2312" w:hAnsi="仿宋_GB2312" w:eastAsia="仿宋_GB2312" w:cs="仿宋_GB2312"/>
          <w:szCs w:val="21"/>
          <w:highlight w:val="none"/>
        </w:rPr>
        <w:t>添加……</w:t>
      </w:r>
    </w:p>
    <w:p>
      <w:pPr>
        <w:rPr>
          <w:rFonts w:ascii="仿宋_GB2312" w:hAnsi="仿宋_GB2312" w:eastAsia="仿宋_GB2312" w:cs="仿宋_GB2312"/>
          <w:sz w:val="28"/>
          <w:szCs w:val="28"/>
          <w:highlight w:val="none"/>
        </w:rPr>
      </w:pPr>
    </w:p>
    <w:p>
      <w:pPr>
        <w:pStyle w:val="4"/>
        <w:keepNext/>
        <w:keepLines/>
        <w:spacing w:before="260" w:after="260" w:line="415" w:lineRule="auto"/>
        <w:ind w:firstLine="137"/>
        <w:outlineLvl w:val="1"/>
        <w:rPr>
          <w:rFonts w:ascii="Times New Roman" w:hAnsi="Times New Roman" w:eastAsia="仿宋_GB2312"/>
          <w:sz w:val="28"/>
          <w:szCs w:val="28"/>
          <w:highlight w:val="none"/>
        </w:rPr>
      </w:pPr>
      <w:bookmarkStart w:id="692" w:name="_Toc11519"/>
      <w:bookmarkStart w:id="693" w:name="_Toc20361"/>
      <w:bookmarkStart w:id="694" w:name="_Toc9228"/>
      <w:bookmarkStart w:id="695" w:name="_Toc576"/>
      <w:bookmarkStart w:id="696" w:name="_Toc9131073"/>
      <w:bookmarkStart w:id="697" w:name="_Toc31408"/>
      <w:r>
        <w:rPr>
          <w:rFonts w:hint="eastAsia" w:ascii="Times New Roman" w:hAnsi="Times New Roman" w:eastAsia="仿宋_GB2312"/>
          <w:szCs w:val="28"/>
          <w:highlight w:val="none"/>
        </w:rPr>
        <w:t>附件</w:t>
      </w:r>
      <w:r>
        <w:rPr>
          <w:rFonts w:hint="eastAsia" w:ascii="Times New Roman" w:hAnsi="Times New Roman"/>
          <w:highlight w:val="none"/>
        </w:rPr>
        <w:t>四</w:t>
      </w:r>
      <w:r>
        <w:rPr>
          <w:rFonts w:hint="eastAsia" w:ascii="Times New Roman" w:hAnsi="Times New Roman" w:eastAsia="仿宋_GB2312"/>
          <w:szCs w:val="28"/>
          <w:highlight w:val="none"/>
        </w:rPr>
        <w:t>：安全生产合同</w:t>
      </w:r>
      <w:bookmarkEnd w:id="692"/>
      <w:bookmarkEnd w:id="693"/>
      <w:bookmarkEnd w:id="694"/>
      <w:bookmarkEnd w:id="695"/>
      <w:bookmarkEnd w:id="696"/>
      <w:bookmarkEnd w:id="697"/>
    </w:p>
    <w:p>
      <w:pPr>
        <w:ind w:firstLine="420" w:firstLineChars="200"/>
        <w:rPr>
          <w:rFonts w:ascii="仿宋_GB2312" w:hAnsi="仿宋_GB2312" w:eastAsia="仿宋_GB2312" w:cs="仿宋_GB2312"/>
          <w:szCs w:val="21"/>
          <w:highlight w:val="none"/>
        </w:rPr>
      </w:pPr>
      <w:r>
        <w:rPr>
          <w:rFonts w:hint="eastAsia" w:ascii="仿宋_GB2312" w:hAnsi="仿宋_GB2312" w:eastAsia="仿宋_GB2312" w:cs="仿宋_GB2312"/>
          <w:szCs w:val="21"/>
          <w:highlight w:val="none"/>
        </w:rPr>
        <w:t>添加……</w:t>
      </w:r>
    </w:p>
    <w:p>
      <w:pPr>
        <w:autoSpaceDE w:val="0"/>
        <w:autoSpaceDN w:val="0"/>
        <w:adjustRightInd w:val="0"/>
        <w:spacing w:line="400" w:lineRule="exact"/>
        <w:jc w:val="left"/>
        <w:rPr>
          <w:rFonts w:ascii="_x000B__x000C_" w:hAnsi="_x000B__x000C_"/>
          <w:color w:val="000000"/>
          <w:kern w:val="0"/>
          <w:szCs w:val="21"/>
          <w:highlight w:val="none"/>
        </w:rPr>
      </w:pPr>
    </w:p>
    <w:p>
      <w:pPr>
        <w:spacing w:line="600" w:lineRule="exact"/>
        <w:ind w:firstLine="4258" w:firstLineChars="2028"/>
        <w:jc w:val="right"/>
        <w:rPr>
          <w:rFonts w:ascii="Times New Roman" w:hAnsi="Times New Roman"/>
          <w:b/>
          <w:bCs/>
          <w:sz w:val="44"/>
          <w:szCs w:val="44"/>
          <w:highlight w:val="none"/>
        </w:rPr>
      </w:pPr>
      <w:bookmarkStart w:id="698" w:name="_bookmark100"/>
      <w:bookmarkEnd w:id="698"/>
      <w:bookmarkStart w:id="699" w:name="_bookmark162"/>
      <w:bookmarkEnd w:id="699"/>
      <w:bookmarkStart w:id="700" w:name="_bookmark149"/>
      <w:bookmarkEnd w:id="700"/>
      <w:bookmarkStart w:id="701" w:name="_bookmark122"/>
      <w:bookmarkEnd w:id="701"/>
      <w:bookmarkStart w:id="702" w:name="_bookmark142"/>
      <w:bookmarkEnd w:id="702"/>
      <w:bookmarkStart w:id="703" w:name="_bookmark153"/>
      <w:bookmarkEnd w:id="703"/>
      <w:bookmarkStart w:id="704" w:name="_bookmark137"/>
      <w:bookmarkEnd w:id="704"/>
      <w:bookmarkStart w:id="705" w:name="_bookmark138"/>
      <w:bookmarkEnd w:id="705"/>
      <w:bookmarkStart w:id="706" w:name="_bookmark140"/>
      <w:bookmarkEnd w:id="706"/>
      <w:bookmarkStart w:id="707" w:name="_bookmark108"/>
      <w:bookmarkEnd w:id="707"/>
      <w:bookmarkStart w:id="708" w:name="_bookmark95"/>
      <w:bookmarkEnd w:id="708"/>
      <w:bookmarkStart w:id="709" w:name="_bookmark107"/>
      <w:bookmarkEnd w:id="709"/>
      <w:bookmarkStart w:id="710" w:name="_bookmark146"/>
      <w:bookmarkEnd w:id="710"/>
      <w:bookmarkStart w:id="711" w:name="_bookmark131"/>
      <w:bookmarkEnd w:id="711"/>
      <w:bookmarkStart w:id="712" w:name="_bookmark123"/>
      <w:bookmarkEnd w:id="712"/>
      <w:bookmarkStart w:id="713" w:name="_bookmark144"/>
      <w:bookmarkEnd w:id="713"/>
      <w:bookmarkStart w:id="714" w:name="_bookmark160"/>
      <w:bookmarkEnd w:id="714"/>
      <w:bookmarkStart w:id="715" w:name="_bookmark125"/>
      <w:bookmarkEnd w:id="715"/>
      <w:bookmarkStart w:id="716" w:name="_bookmark117"/>
      <w:bookmarkEnd w:id="716"/>
      <w:bookmarkStart w:id="717" w:name="_bookmark119"/>
      <w:bookmarkEnd w:id="717"/>
      <w:bookmarkStart w:id="718" w:name="_bookmark110"/>
      <w:bookmarkEnd w:id="718"/>
      <w:bookmarkStart w:id="719" w:name="_bookmark97"/>
      <w:bookmarkEnd w:id="719"/>
      <w:bookmarkStart w:id="720" w:name="_bookmark126"/>
      <w:bookmarkEnd w:id="720"/>
      <w:bookmarkStart w:id="721" w:name="_bookmark150"/>
      <w:bookmarkEnd w:id="721"/>
      <w:bookmarkStart w:id="722" w:name="_bookmark111"/>
      <w:bookmarkEnd w:id="722"/>
      <w:bookmarkStart w:id="723" w:name="_bookmark96"/>
      <w:bookmarkEnd w:id="723"/>
      <w:bookmarkStart w:id="724" w:name="_bookmark156"/>
      <w:bookmarkEnd w:id="724"/>
      <w:bookmarkStart w:id="725" w:name="_bookmark148"/>
      <w:bookmarkEnd w:id="725"/>
      <w:bookmarkStart w:id="726" w:name="_bookmark104"/>
      <w:bookmarkEnd w:id="726"/>
      <w:bookmarkStart w:id="727" w:name="_bookmark120"/>
      <w:bookmarkEnd w:id="727"/>
      <w:bookmarkStart w:id="728" w:name="_bookmark129"/>
      <w:bookmarkEnd w:id="728"/>
      <w:bookmarkStart w:id="729" w:name="_bookmark109"/>
      <w:bookmarkEnd w:id="729"/>
      <w:bookmarkStart w:id="730" w:name="_bookmark127"/>
      <w:bookmarkEnd w:id="730"/>
      <w:bookmarkStart w:id="731" w:name="_bookmark152"/>
      <w:bookmarkEnd w:id="731"/>
      <w:bookmarkStart w:id="732" w:name="_bookmark128"/>
      <w:bookmarkEnd w:id="732"/>
      <w:bookmarkStart w:id="733" w:name="_bookmark155"/>
      <w:bookmarkEnd w:id="733"/>
      <w:bookmarkStart w:id="734" w:name="_bookmark141"/>
      <w:bookmarkEnd w:id="734"/>
      <w:bookmarkStart w:id="735" w:name="_bookmark112"/>
      <w:bookmarkEnd w:id="735"/>
      <w:bookmarkStart w:id="736" w:name="_bookmark102"/>
      <w:bookmarkEnd w:id="736"/>
      <w:bookmarkStart w:id="737" w:name="_bookmark105"/>
      <w:bookmarkEnd w:id="737"/>
      <w:bookmarkStart w:id="738" w:name="_bookmark139"/>
      <w:bookmarkEnd w:id="738"/>
      <w:bookmarkStart w:id="739" w:name="_bookmark106"/>
      <w:bookmarkEnd w:id="739"/>
      <w:bookmarkStart w:id="740" w:name="_bookmark99"/>
      <w:bookmarkEnd w:id="740"/>
      <w:bookmarkStart w:id="741" w:name="_bookmark113"/>
      <w:bookmarkEnd w:id="741"/>
      <w:bookmarkStart w:id="742" w:name="_bookmark134"/>
      <w:bookmarkEnd w:id="742"/>
      <w:bookmarkStart w:id="743" w:name="_bookmark103"/>
      <w:bookmarkEnd w:id="743"/>
      <w:bookmarkStart w:id="744" w:name="_bookmark133"/>
      <w:bookmarkEnd w:id="744"/>
      <w:bookmarkStart w:id="745" w:name="_bookmark159"/>
      <w:bookmarkEnd w:id="745"/>
      <w:bookmarkStart w:id="746" w:name="_bookmark124"/>
      <w:bookmarkEnd w:id="746"/>
      <w:bookmarkStart w:id="747" w:name="_bookmark91"/>
      <w:bookmarkEnd w:id="747"/>
      <w:bookmarkStart w:id="748" w:name="_bookmark101"/>
      <w:bookmarkEnd w:id="748"/>
      <w:bookmarkStart w:id="749" w:name="_bookmark147"/>
      <w:bookmarkEnd w:id="749"/>
      <w:bookmarkStart w:id="750" w:name="_bookmark92"/>
      <w:bookmarkEnd w:id="750"/>
      <w:bookmarkStart w:id="751" w:name="_bookmark115"/>
      <w:bookmarkEnd w:id="751"/>
      <w:bookmarkStart w:id="752" w:name="_bookmark132"/>
      <w:bookmarkEnd w:id="752"/>
      <w:bookmarkStart w:id="753" w:name="_bookmark151"/>
      <w:bookmarkEnd w:id="753"/>
      <w:bookmarkStart w:id="754" w:name="_bookmark98"/>
      <w:bookmarkEnd w:id="754"/>
      <w:bookmarkStart w:id="755" w:name="_bookmark135"/>
      <w:bookmarkEnd w:id="755"/>
      <w:bookmarkStart w:id="756" w:name="_bookmark136"/>
      <w:bookmarkEnd w:id="756"/>
      <w:bookmarkStart w:id="757" w:name="_bookmark154"/>
      <w:bookmarkEnd w:id="757"/>
      <w:bookmarkStart w:id="758" w:name="_bookmark121"/>
      <w:bookmarkEnd w:id="758"/>
      <w:bookmarkStart w:id="759" w:name="_bookmark161"/>
      <w:bookmarkEnd w:id="759"/>
      <w:bookmarkStart w:id="760" w:name="_bookmark145"/>
      <w:bookmarkEnd w:id="760"/>
      <w:bookmarkStart w:id="761" w:name="_bookmark93"/>
      <w:bookmarkEnd w:id="761"/>
      <w:bookmarkStart w:id="762" w:name="_bookmark130"/>
      <w:bookmarkEnd w:id="762"/>
      <w:bookmarkStart w:id="763" w:name="_bookmark114"/>
      <w:bookmarkEnd w:id="763"/>
      <w:bookmarkStart w:id="764" w:name="_bookmark158"/>
      <w:bookmarkEnd w:id="764"/>
      <w:bookmarkStart w:id="765" w:name="_bookmark116"/>
      <w:bookmarkEnd w:id="765"/>
      <w:bookmarkStart w:id="766" w:name="_bookmark118"/>
      <w:bookmarkEnd w:id="766"/>
      <w:bookmarkStart w:id="767" w:name="_bookmark94"/>
      <w:bookmarkEnd w:id="767"/>
      <w:bookmarkStart w:id="768" w:name="_bookmark157"/>
      <w:bookmarkEnd w:id="768"/>
      <w:bookmarkStart w:id="769" w:name="_bookmark143"/>
      <w:bookmarkEnd w:id="769"/>
      <w:bookmarkStart w:id="770" w:name="_Toc179632787"/>
      <w:bookmarkStart w:id="771" w:name="_Toc246996338"/>
      <w:bookmarkStart w:id="772" w:name="_Toc246997081"/>
      <w:bookmarkStart w:id="773" w:name="_Toc247085853"/>
      <w:bookmarkStart w:id="774" w:name="_Toc247514197"/>
      <w:bookmarkStart w:id="775" w:name="_Toc152045610"/>
      <w:bookmarkStart w:id="776" w:name="_Toc300835199"/>
      <w:bookmarkStart w:id="777" w:name="_Toc144974578"/>
      <w:bookmarkStart w:id="778" w:name="_Toc152042388"/>
      <w:bookmarkStart w:id="779" w:name="_Toc152042549"/>
      <w:bookmarkStart w:id="780" w:name="_Toc144974829"/>
      <w:bookmarkStart w:id="781" w:name="_Toc247527798"/>
      <w:bookmarkStart w:id="782" w:name="_Toc184635122"/>
      <w:r>
        <w:rPr>
          <w:rFonts w:ascii="Times New Roman" w:hAnsi="Times New Roman"/>
          <w:szCs w:val="21"/>
          <w:highlight w:val="none"/>
        </w:rPr>
        <w:br w:type="page"/>
      </w:r>
    </w:p>
    <w:p>
      <w:pPr>
        <w:topLinePunct/>
        <w:spacing w:line="440" w:lineRule="exact"/>
        <w:jc w:val="center"/>
        <w:rPr>
          <w:rFonts w:ascii="Times New Roman" w:hAnsi="Times New Roman"/>
          <w:sz w:val="21"/>
          <w:highlight w:val="none"/>
        </w:rPr>
      </w:pPr>
    </w:p>
    <w:p>
      <w:pPr>
        <w:pStyle w:val="2"/>
        <w:jc w:val="center"/>
        <w:rPr>
          <w:highlight w:val="none"/>
        </w:rPr>
      </w:pPr>
      <w:bookmarkStart w:id="783" w:name="_Toc1830606720"/>
      <w:bookmarkStart w:id="784" w:name="_Toc79054279"/>
      <w:r>
        <w:rPr>
          <w:highlight w:val="none"/>
        </w:rPr>
        <w:t>第五章供货要求</w:t>
      </w:r>
      <w:bookmarkEnd w:id="783"/>
      <w:bookmarkEnd w:id="784"/>
    </w:p>
    <w:p>
      <w:pPr>
        <w:topLinePunct/>
        <w:spacing w:line="440" w:lineRule="exact"/>
        <w:jc w:val="center"/>
        <w:rPr>
          <w:rFonts w:ascii="Times New Roman" w:hAnsi="Times New Roman"/>
          <w:highlight w:val="none"/>
        </w:rPr>
      </w:pPr>
    </w:p>
    <w:p>
      <w:pPr>
        <w:spacing w:line="400" w:lineRule="exact"/>
        <w:jc w:val="center"/>
        <w:rPr>
          <w:rFonts w:ascii="Times New Roman" w:hAnsi="Times New Roman"/>
          <w:highlight w:val="none"/>
        </w:rPr>
      </w:pPr>
      <w:r>
        <w:rPr>
          <w:rFonts w:ascii="Times New Roman" w:hAnsi="Times New Roman"/>
          <w:highlight w:val="none"/>
        </w:rPr>
        <w:br w:type="page"/>
      </w:r>
    </w:p>
    <w:p>
      <w:pPr>
        <w:spacing w:line="400" w:lineRule="exact"/>
        <w:jc w:val="center"/>
        <w:rPr>
          <w:rFonts w:ascii="Times New Roman" w:hAnsi="Times New Roman"/>
          <w:b/>
          <w:sz w:val="32"/>
          <w:szCs w:val="32"/>
          <w:highlight w:val="none"/>
        </w:rPr>
      </w:pPr>
      <w:r>
        <w:rPr>
          <w:rFonts w:ascii="Times New Roman" w:hAnsi="Times New Roman"/>
          <w:b/>
          <w:sz w:val="32"/>
          <w:szCs w:val="32"/>
          <w:highlight w:val="none"/>
        </w:rPr>
        <w:t>供货要求</w:t>
      </w:r>
    </w:p>
    <w:p>
      <w:pPr>
        <w:spacing w:line="400" w:lineRule="exact"/>
        <w:jc w:val="center"/>
        <w:rPr>
          <w:rFonts w:ascii="Times New Roman" w:hAnsi="Times New Roman"/>
          <w:b/>
          <w:sz w:val="32"/>
          <w:szCs w:val="32"/>
          <w:highlight w:val="none"/>
        </w:rPr>
      </w:pPr>
    </w:p>
    <w:p>
      <w:pPr>
        <w:spacing w:line="400" w:lineRule="exact"/>
        <w:ind w:firstLine="420" w:firstLineChars="200"/>
        <w:jc w:val="left"/>
        <w:rPr>
          <w:rFonts w:ascii="Times New Roman" w:hAnsi="Times New Roman"/>
          <w:szCs w:val="21"/>
          <w:highlight w:val="none"/>
        </w:rPr>
      </w:pPr>
      <w:r>
        <w:rPr>
          <w:rFonts w:ascii="Times New Roman" w:hAnsi="Times New Roman"/>
          <w:szCs w:val="21"/>
          <w:highlight w:val="none"/>
        </w:rPr>
        <w:t>招标人应尽可能清晰准确地提出对材料的需求，并对所要求提供的材料名称、规格、数量及单位、交货期、交货地点、质量标准、验收标准、相关服务要求等作出说明。鉴于供货要求是合同文件的组成文件之一，指代主体名称宜采用买方和卖方分别表示招标人和投标人或中标人。</w:t>
      </w:r>
    </w:p>
    <w:p>
      <w:pPr>
        <w:pStyle w:val="3"/>
        <w:spacing w:line="240" w:lineRule="auto"/>
        <w:rPr>
          <w:rFonts w:ascii="Times New Roman" w:hAnsi="Times New Roman"/>
          <w:b w:val="0"/>
          <w:sz w:val="28"/>
          <w:szCs w:val="28"/>
          <w:highlight w:val="none"/>
        </w:rPr>
      </w:pPr>
      <w:bookmarkStart w:id="785" w:name="_Toc1071925543"/>
      <w:r>
        <w:rPr>
          <w:rFonts w:ascii="Times New Roman" w:hAnsi="Times New Roman"/>
          <w:b w:val="0"/>
          <w:sz w:val="28"/>
          <w:szCs w:val="28"/>
          <w:highlight w:val="none"/>
        </w:rPr>
        <w:t>一、项目概况及总体要求</w:t>
      </w:r>
      <w:bookmarkEnd w:id="785"/>
    </w:p>
    <w:p>
      <w:pPr>
        <w:spacing w:line="440" w:lineRule="exact"/>
        <w:ind w:firstLine="359" w:firstLineChars="171"/>
        <w:rPr>
          <w:rFonts w:ascii="Times New Roman" w:hAnsi="Times New Roman"/>
          <w:szCs w:val="21"/>
          <w:highlight w:val="none"/>
        </w:rPr>
      </w:pPr>
      <w:r>
        <w:rPr>
          <w:rFonts w:ascii="Times New Roman" w:hAnsi="Times New Roman"/>
          <w:szCs w:val="21"/>
          <w:highlight w:val="none"/>
        </w:rPr>
        <w:t>招标人可根据需要对工程项目的概况进行介绍，以使投标人更清晰地了解供货的总体要求和相关信息。</w:t>
      </w:r>
      <w:bookmarkStart w:id="786" w:name="_Toc2462"/>
    </w:p>
    <w:p>
      <w:pPr>
        <w:pStyle w:val="3"/>
        <w:spacing w:line="240" w:lineRule="auto"/>
        <w:rPr>
          <w:rFonts w:ascii="Times New Roman" w:hAnsi="Times New Roman"/>
          <w:b w:val="0"/>
          <w:sz w:val="28"/>
          <w:szCs w:val="28"/>
          <w:highlight w:val="none"/>
        </w:rPr>
      </w:pPr>
      <w:bookmarkStart w:id="787" w:name="_Toc539239377"/>
      <w:r>
        <w:rPr>
          <w:rFonts w:ascii="Times New Roman" w:hAnsi="Times New Roman"/>
          <w:b w:val="0"/>
          <w:sz w:val="28"/>
          <w:szCs w:val="28"/>
          <w:highlight w:val="none"/>
        </w:rPr>
        <w:t>二、材料需求一览表</w:t>
      </w:r>
      <w:bookmarkEnd w:id="786"/>
      <w:bookmarkEnd w:id="787"/>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2260"/>
        <w:gridCol w:w="1556"/>
        <w:gridCol w:w="1314"/>
        <w:gridCol w:w="1290"/>
        <w:gridCol w:w="1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dxa"/>
            <w:vAlign w:val="center"/>
          </w:tcPr>
          <w:p>
            <w:pPr>
              <w:spacing w:line="440" w:lineRule="exact"/>
              <w:jc w:val="center"/>
              <w:rPr>
                <w:rFonts w:ascii="Times New Roman" w:hAnsi="Times New Roman"/>
                <w:szCs w:val="21"/>
                <w:highlight w:val="none"/>
              </w:rPr>
            </w:pPr>
            <w:r>
              <w:rPr>
                <w:rFonts w:ascii="Times New Roman" w:hAnsi="Times New Roman"/>
                <w:szCs w:val="21"/>
                <w:highlight w:val="none"/>
              </w:rPr>
              <w:t>序号</w:t>
            </w:r>
          </w:p>
        </w:tc>
        <w:tc>
          <w:tcPr>
            <w:tcW w:w="2260" w:type="dxa"/>
            <w:vAlign w:val="center"/>
          </w:tcPr>
          <w:p>
            <w:pPr>
              <w:spacing w:line="440" w:lineRule="exact"/>
              <w:jc w:val="center"/>
              <w:rPr>
                <w:rFonts w:ascii="Times New Roman" w:hAnsi="Times New Roman"/>
                <w:szCs w:val="21"/>
                <w:highlight w:val="none"/>
              </w:rPr>
            </w:pPr>
            <w:r>
              <w:rPr>
                <w:rFonts w:ascii="Times New Roman" w:hAnsi="Times New Roman"/>
                <w:szCs w:val="21"/>
                <w:highlight w:val="none"/>
              </w:rPr>
              <w:t>材料名称</w:t>
            </w:r>
          </w:p>
        </w:tc>
        <w:tc>
          <w:tcPr>
            <w:tcW w:w="1556" w:type="dxa"/>
            <w:vAlign w:val="center"/>
          </w:tcPr>
          <w:p>
            <w:pPr>
              <w:spacing w:line="440" w:lineRule="exact"/>
              <w:jc w:val="center"/>
              <w:rPr>
                <w:rFonts w:ascii="Times New Roman" w:hAnsi="Times New Roman"/>
                <w:szCs w:val="21"/>
                <w:highlight w:val="none"/>
              </w:rPr>
            </w:pPr>
            <w:r>
              <w:rPr>
                <w:rFonts w:ascii="Times New Roman" w:hAnsi="Times New Roman"/>
                <w:szCs w:val="21"/>
                <w:highlight w:val="none"/>
              </w:rPr>
              <w:t>数量及单位</w:t>
            </w:r>
          </w:p>
        </w:tc>
        <w:tc>
          <w:tcPr>
            <w:tcW w:w="1314" w:type="dxa"/>
            <w:vAlign w:val="center"/>
          </w:tcPr>
          <w:p>
            <w:pPr>
              <w:spacing w:line="440" w:lineRule="exact"/>
              <w:jc w:val="center"/>
              <w:rPr>
                <w:rFonts w:ascii="Times New Roman" w:hAnsi="Times New Roman"/>
                <w:szCs w:val="21"/>
                <w:highlight w:val="none"/>
              </w:rPr>
            </w:pPr>
            <w:r>
              <w:rPr>
                <w:rFonts w:ascii="Times New Roman" w:hAnsi="Times New Roman"/>
                <w:szCs w:val="21"/>
                <w:highlight w:val="none"/>
              </w:rPr>
              <w:t>交货期</w:t>
            </w:r>
          </w:p>
        </w:tc>
        <w:tc>
          <w:tcPr>
            <w:tcW w:w="1290" w:type="dxa"/>
            <w:vAlign w:val="center"/>
          </w:tcPr>
          <w:p>
            <w:pPr>
              <w:spacing w:line="440" w:lineRule="exact"/>
              <w:jc w:val="center"/>
              <w:rPr>
                <w:rFonts w:ascii="Times New Roman" w:hAnsi="Times New Roman"/>
                <w:szCs w:val="21"/>
                <w:highlight w:val="none"/>
              </w:rPr>
            </w:pPr>
            <w:r>
              <w:rPr>
                <w:rFonts w:ascii="Times New Roman" w:hAnsi="Times New Roman"/>
                <w:szCs w:val="21"/>
                <w:highlight w:val="none"/>
              </w:rPr>
              <w:t>交货地点</w:t>
            </w:r>
          </w:p>
        </w:tc>
        <w:tc>
          <w:tcPr>
            <w:tcW w:w="1280" w:type="dxa"/>
            <w:vAlign w:val="center"/>
          </w:tcPr>
          <w:p>
            <w:pPr>
              <w:spacing w:line="440" w:lineRule="exact"/>
              <w:jc w:val="center"/>
              <w:rPr>
                <w:rFonts w:ascii="Times New Roman" w:hAnsi="Times New Roman"/>
                <w:szCs w:val="21"/>
                <w:highlight w:val="none"/>
              </w:rPr>
            </w:pPr>
            <w:r>
              <w:rPr>
                <w:rFonts w:ascii="Times New Roman" w:hAnsi="Times New Roman"/>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dxa"/>
            <w:vAlign w:val="center"/>
          </w:tcPr>
          <w:p>
            <w:pPr>
              <w:spacing w:line="440" w:lineRule="exact"/>
              <w:jc w:val="center"/>
              <w:rPr>
                <w:rFonts w:ascii="Times New Roman" w:hAnsi="Times New Roman"/>
                <w:szCs w:val="21"/>
                <w:highlight w:val="none"/>
              </w:rPr>
            </w:pPr>
            <w:r>
              <w:rPr>
                <w:rFonts w:ascii="Times New Roman" w:hAnsi="Times New Roman"/>
                <w:szCs w:val="21"/>
                <w:highlight w:val="none"/>
              </w:rPr>
              <w:t>1</w:t>
            </w:r>
          </w:p>
        </w:tc>
        <w:tc>
          <w:tcPr>
            <w:tcW w:w="2260" w:type="dxa"/>
            <w:vAlign w:val="center"/>
          </w:tcPr>
          <w:p>
            <w:pPr>
              <w:spacing w:line="440" w:lineRule="exact"/>
              <w:jc w:val="center"/>
              <w:rPr>
                <w:rFonts w:ascii="Times New Roman" w:hAnsi="Times New Roman"/>
                <w:szCs w:val="21"/>
                <w:highlight w:val="none"/>
              </w:rPr>
            </w:pPr>
          </w:p>
        </w:tc>
        <w:tc>
          <w:tcPr>
            <w:tcW w:w="1556" w:type="dxa"/>
            <w:vAlign w:val="center"/>
          </w:tcPr>
          <w:p>
            <w:pPr>
              <w:spacing w:line="440" w:lineRule="exact"/>
              <w:jc w:val="center"/>
              <w:rPr>
                <w:rFonts w:ascii="Times New Roman" w:hAnsi="Times New Roman"/>
                <w:szCs w:val="21"/>
                <w:highlight w:val="none"/>
              </w:rPr>
            </w:pPr>
          </w:p>
        </w:tc>
        <w:tc>
          <w:tcPr>
            <w:tcW w:w="1314" w:type="dxa"/>
            <w:vAlign w:val="center"/>
          </w:tcPr>
          <w:p>
            <w:pPr>
              <w:spacing w:line="440" w:lineRule="exact"/>
              <w:jc w:val="center"/>
              <w:rPr>
                <w:rFonts w:ascii="Times New Roman" w:hAnsi="Times New Roman"/>
                <w:szCs w:val="21"/>
                <w:highlight w:val="none"/>
              </w:rPr>
            </w:pPr>
          </w:p>
        </w:tc>
        <w:tc>
          <w:tcPr>
            <w:tcW w:w="1290" w:type="dxa"/>
            <w:vAlign w:val="center"/>
          </w:tcPr>
          <w:p>
            <w:pPr>
              <w:spacing w:line="440" w:lineRule="exact"/>
              <w:jc w:val="center"/>
              <w:rPr>
                <w:rFonts w:ascii="Times New Roman" w:hAnsi="Times New Roman"/>
                <w:szCs w:val="21"/>
                <w:highlight w:val="none"/>
              </w:rPr>
            </w:pPr>
          </w:p>
        </w:tc>
        <w:tc>
          <w:tcPr>
            <w:tcW w:w="1280" w:type="dxa"/>
            <w:vAlign w:val="center"/>
          </w:tcPr>
          <w:p>
            <w:pPr>
              <w:spacing w:line="440" w:lineRule="exact"/>
              <w:jc w:val="center"/>
              <w:rPr>
                <w:rFonts w:ascii="Times New Roman" w:hAnsi="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dxa"/>
            <w:vAlign w:val="center"/>
          </w:tcPr>
          <w:p>
            <w:pPr>
              <w:spacing w:line="440" w:lineRule="exact"/>
              <w:jc w:val="center"/>
              <w:rPr>
                <w:rFonts w:ascii="Times New Roman" w:hAnsi="Times New Roman"/>
                <w:szCs w:val="21"/>
                <w:highlight w:val="none"/>
              </w:rPr>
            </w:pPr>
            <w:r>
              <w:rPr>
                <w:rFonts w:ascii="Times New Roman" w:hAnsi="Times New Roman"/>
                <w:szCs w:val="21"/>
                <w:highlight w:val="none"/>
              </w:rPr>
              <w:t>2</w:t>
            </w:r>
          </w:p>
        </w:tc>
        <w:tc>
          <w:tcPr>
            <w:tcW w:w="2260" w:type="dxa"/>
            <w:vAlign w:val="center"/>
          </w:tcPr>
          <w:p>
            <w:pPr>
              <w:spacing w:line="440" w:lineRule="exact"/>
              <w:jc w:val="center"/>
              <w:rPr>
                <w:rFonts w:ascii="Times New Roman" w:hAnsi="Times New Roman"/>
                <w:szCs w:val="21"/>
                <w:highlight w:val="none"/>
              </w:rPr>
            </w:pPr>
          </w:p>
        </w:tc>
        <w:tc>
          <w:tcPr>
            <w:tcW w:w="1556" w:type="dxa"/>
            <w:vAlign w:val="center"/>
          </w:tcPr>
          <w:p>
            <w:pPr>
              <w:spacing w:line="440" w:lineRule="exact"/>
              <w:jc w:val="center"/>
              <w:rPr>
                <w:rFonts w:ascii="Times New Roman" w:hAnsi="Times New Roman"/>
                <w:szCs w:val="21"/>
                <w:highlight w:val="none"/>
              </w:rPr>
            </w:pPr>
          </w:p>
        </w:tc>
        <w:tc>
          <w:tcPr>
            <w:tcW w:w="1314" w:type="dxa"/>
            <w:vAlign w:val="center"/>
          </w:tcPr>
          <w:p>
            <w:pPr>
              <w:spacing w:line="440" w:lineRule="exact"/>
              <w:jc w:val="center"/>
              <w:rPr>
                <w:rFonts w:ascii="Times New Roman" w:hAnsi="Times New Roman"/>
                <w:szCs w:val="21"/>
                <w:highlight w:val="none"/>
              </w:rPr>
            </w:pPr>
          </w:p>
        </w:tc>
        <w:tc>
          <w:tcPr>
            <w:tcW w:w="1290" w:type="dxa"/>
            <w:vAlign w:val="center"/>
          </w:tcPr>
          <w:p>
            <w:pPr>
              <w:spacing w:line="440" w:lineRule="exact"/>
              <w:jc w:val="center"/>
              <w:rPr>
                <w:rFonts w:ascii="Times New Roman" w:hAnsi="Times New Roman"/>
                <w:szCs w:val="21"/>
                <w:highlight w:val="none"/>
              </w:rPr>
            </w:pPr>
          </w:p>
        </w:tc>
        <w:tc>
          <w:tcPr>
            <w:tcW w:w="1280" w:type="dxa"/>
            <w:vAlign w:val="center"/>
          </w:tcPr>
          <w:p>
            <w:pPr>
              <w:spacing w:line="440" w:lineRule="exact"/>
              <w:jc w:val="center"/>
              <w:rPr>
                <w:rFonts w:ascii="Times New Roman" w:hAnsi="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dxa"/>
            <w:vAlign w:val="center"/>
          </w:tcPr>
          <w:p>
            <w:pPr>
              <w:spacing w:line="440" w:lineRule="exact"/>
              <w:jc w:val="center"/>
              <w:rPr>
                <w:rFonts w:ascii="Times New Roman" w:hAnsi="Times New Roman"/>
                <w:szCs w:val="21"/>
                <w:highlight w:val="none"/>
              </w:rPr>
            </w:pPr>
            <w:r>
              <w:rPr>
                <w:rFonts w:ascii="Times New Roman" w:hAnsi="Times New Roman"/>
                <w:szCs w:val="21"/>
                <w:highlight w:val="none"/>
              </w:rPr>
              <w:t>3</w:t>
            </w:r>
          </w:p>
        </w:tc>
        <w:tc>
          <w:tcPr>
            <w:tcW w:w="2260" w:type="dxa"/>
            <w:vAlign w:val="center"/>
          </w:tcPr>
          <w:p>
            <w:pPr>
              <w:spacing w:line="440" w:lineRule="exact"/>
              <w:jc w:val="center"/>
              <w:rPr>
                <w:rFonts w:ascii="Times New Roman" w:hAnsi="Times New Roman"/>
                <w:szCs w:val="21"/>
                <w:highlight w:val="none"/>
              </w:rPr>
            </w:pPr>
          </w:p>
        </w:tc>
        <w:tc>
          <w:tcPr>
            <w:tcW w:w="1556" w:type="dxa"/>
            <w:vAlign w:val="center"/>
          </w:tcPr>
          <w:p>
            <w:pPr>
              <w:spacing w:line="440" w:lineRule="exact"/>
              <w:jc w:val="center"/>
              <w:rPr>
                <w:rFonts w:ascii="Times New Roman" w:hAnsi="Times New Roman"/>
                <w:szCs w:val="21"/>
                <w:highlight w:val="none"/>
              </w:rPr>
            </w:pPr>
          </w:p>
        </w:tc>
        <w:tc>
          <w:tcPr>
            <w:tcW w:w="1314" w:type="dxa"/>
            <w:vAlign w:val="center"/>
          </w:tcPr>
          <w:p>
            <w:pPr>
              <w:spacing w:line="440" w:lineRule="exact"/>
              <w:jc w:val="center"/>
              <w:rPr>
                <w:rFonts w:ascii="Times New Roman" w:hAnsi="Times New Roman"/>
                <w:szCs w:val="21"/>
                <w:highlight w:val="none"/>
              </w:rPr>
            </w:pPr>
          </w:p>
        </w:tc>
        <w:tc>
          <w:tcPr>
            <w:tcW w:w="1290" w:type="dxa"/>
            <w:vAlign w:val="center"/>
          </w:tcPr>
          <w:p>
            <w:pPr>
              <w:spacing w:line="440" w:lineRule="exact"/>
              <w:jc w:val="center"/>
              <w:rPr>
                <w:rFonts w:ascii="Times New Roman" w:hAnsi="Times New Roman"/>
                <w:szCs w:val="21"/>
                <w:highlight w:val="none"/>
              </w:rPr>
            </w:pPr>
          </w:p>
        </w:tc>
        <w:tc>
          <w:tcPr>
            <w:tcW w:w="1280" w:type="dxa"/>
            <w:vAlign w:val="center"/>
          </w:tcPr>
          <w:p>
            <w:pPr>
              <w:spacing w:line="440" w:lineRule="exact"/>
              <w:jc w:val="center"/>
              <w:rPr>
                <w:rFonts w:ascii="Times New Roman" w:hAnsi="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dxa"/>
            <w:vAlign w:val="center"/>
          </w:tcPr>
          <w:p>
            <w:pPr>
              <w:spacing w:line="440" w:lineRule="exact"/>
              <w:jc w:val="center"/>
              <w:rPr>
                <w:rFonts w:ascii="Times New Roman" w:hAnsi="Times New Roman"/>
                <w:szCs w:val="21"/>
                <w:highlight w:val="none"/>
              </w:rPr>
            </w:pPr>
            <w:r>
              <w:rPr>
                <w:rFonts w:ascii="Times New Roman" w:hAnsi="Times New Roman"/>
                <w:szCs w:val="21"/>
                <w:highlight w:val="none"/>
              </w:rPr>
              <w:t>4</w:t>
            </w:r>
          </w:p>
        </w:tc>
        <w:tc>
          <w:tcPr>
            <w:tcW w:w="2260" w:type="dxa"/>
            <w:vAlign w:val="center"/>
          </w:tcPr>
          <w:p>
            <w:pPr>
              <w:spacing w:line="440" w:lineRule="exact"/>
              <w:jc w:val="center"/>
              <w:rPr>
                <w:rFonts w:ascii="Times New Roman" w:hAnsi="Times New Roman"/>
                <w:szCs w:val="21"/>
                <w:highlight w:val="none"/>
              </w:rPr>
            </w:pPr>
          </w:p>
        </w:tc>
        <w:tc>
          <w:tcPr>
            <w:tcW w:w="1556" w:type="dxa"/>
            <w:vAlign w:val="center"/>
          </w:tcPr>
          <w:p>
            <w:pPr>
              <w:spacing w:line="440" w:lineRule="exact"/>
              <w:jc w:val="center"/>
              <w:rPr>
                <w:rFonts w:ascii="Times New Roman" w:hAnsi="Times New Roman"/>
                <w:szCs w:val="21"/>
                <w:highlight w:val="none"/>
              </w:rPr>
            </w:pPr>
          </w:p>
        </w:tc>
        <w:tc>
          <w:tcPr>
            <w:tcW w:w="1314" w:type="dxa"/>
            <w:vAlign w:val="center"/>
          </w:tcPr>
          <w:p>
            <w:pPr>
              <w:spacing w:line="440" w:lineRule="exact"/>
              <w:jc w:val="center"/>
              <w:rPr>
                <w:rFonts w:ascii="Times New Roman" w:hAnsi="Times New Roman"/>
                <w:szCs w:val="21"/>
                <w:highlight w:val="none"/>
              </w:rPr>
            </w:pPr>
          </w:p>
        </w:tc>
        <w:tc>
          <w:tcPr>
            <w:tcW w:w="1290" w:type="dxa"/>
            <w:vAlign w:val="center"/>
          </w:tcPr>
          <w:p>
            <w:pPr>
              <w:spacing w:line="440" w:lineRule="exact"/>
              <w:jc w:val="center"/>
              <w:rPr>
                <w:rFonts w:ascii="Times New Roman" w:hAnsi="Times New Roman"/>
                <w:szCs w:val="21"/>
                <w:highlight w:val="none"/>
              </w:rPr>
            </w:pPr>
          </w:p>
        </w:tc>
        <w:tc>
          <w:tcPr>
            <w:tcW w:w="1280" w:type="dxa"/>
            <w:vAlign w:val="center"/>
          </w:tcPr>
          <w:p>
            <w:pPr>
              <w:spacing w:line="440" w:lineRule="exact"/>
              <w:jc w:val="center"/>
              <w:rPr>
                <w:rFonts w:ascii="Times New Roman" w:hAnsi="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dxa"/>
            <w:vAlign w:val="center"/>
          </w:tcPr>
          <w:p>
            <w:pPr>
              <w:spacing w:line="440" w:lineRule="exact"/>
              <w:jc w:val="center"/>
              <w:rPr>
                <w:rFonts w:ascii="Times New Roman" w:hAnsi="Times New Roman"/>
                <w:szCs w:val="21"/>
                <w:highlight w:val="none"/>
              </w:rPr>
            </w:pPr>
            <w:r>
              <w:rPr>
                <w:rFonts w:ascii="Times New Roman" w:hAnsi="Times New Roman"/>
                <w:szCs w:val="21"/>
                <w:highlight w:val="none"/>
              </w:rPr>
              <w:t>……</w:t>
            </w:r>
          </w:p>
        </w:tc>
        <w:tc>
          <w:tcPr>
            <w:tcW w:w="2260" w:type="dxa"/>
            <w:vAlign w:val="center"/>
          </w:tcPr>
          <w:p>
            <w:pPr>
              <w:spacing w:line="440" w:lineRule="exact"/>
              <w:jc w:val="center"/>
              <w:rPr>
                <w:rFonts w:ascii="Times New Roman" w:hAnsi="Times New Roman"/>
                <w:szCs w:val="21"/>
                <w:highlight w:val="none"/>
              </w:rPr>
            </w:pPr>
          </w:p>
        </w:tc>
        <w:tc>
          <w:tcPr>
            <w:tcW w:w="1556" w:type="dxa"/>
            <w:vAlign w:val="center"/>
          </w:tcPr>
          <w:p>
            <w:pPr>
              <w:spacing w:line="440" w:lineRule="exact"/>
              <w:jc w:val="center"/>
              <w:rPr>
                <w:rFonts w:ascii="Times New Roman" w:hAnsi="Times New Roman"/>
                <w:szCs w:val="21"/>
                <w:highlight w:val="none"/>
              </w:rPr>
            </w:pPr>
          </w:p>
        </w:tc>
        <w:tc>
          <w:tcPr>
            <w:tcW w:w="1314" w:type="dxa"/>
            <w:vAlign w:val="center"/>
          </w:tcPr>
          <w:p>
            <w:pPr>
              <w:spacing w:line="440" w:lineRule="exact"/>
              <w:jc w:val="center"/>
              <w:rPr>
                <w:rFonts w:ascii="Times New Roman" w:hAnsi="Times New Roman"/>
                <w:szCs w:val="21"/>
                <w:highlight w:val="none"/>
              </w:rPr>
            </w:pPr>
          </w:p>
        </w:tc>
        <w:tc>
          <w:tcPr>
            <w:tcW w:w="1290" w:type="dxa"/>
            <w:vAlign w:val="center"/>
          </w:tcPr>
          <w:p>
            <w:pPr>
              <w:spacing w:line="440" w:lineRule="exact"/>
              <w:jc w:val="center"/>
              <w:rPr>
                <w:rFonts w:ascii="Times New Roman" w:hAnsi="Times New Roman"/>
                <w:szCs w:val="21"/>
                <w:highlight w:val="none"/>
              </w:rPr>
            </w:pPr>
          </w:p>
        </w:tc>
        <w:tc>
          <w:tcPr>
            <w:tcW w:w="1280" w:type="dxa"/>
            <w:vAlign w:val="center"/>
          </w:tcPr>
          <w:p>
            <w:pPr>
              <w:spacing w:line="440" w:lineRule="exact"/>
              <w:jc w:val="center"/>
              <w:rPr>
                <w:rFonts w:ascii="Times New Roman" w:hAnsi="Times New Roman"/>
                <w:szCs w:val="21"/>
                <w:highlight w:val="none"/>
              </w:rPr>
            </w:pPr>
          </w:p>
        </w:tc>
      </w:tr>
    </w:tbl>
    <w:p>
      <w:pPr>
        <w:pStyle w:val="3"/>
        <w:spacing w:line="240" w:lineRule="auto"/>
        <w:rPr>
          <w:rFonts w:ascii="Times New Roman" w:hAnsi="Times New Roman"/>
          <w:b w:val="0"/>
          <w:sz w:val="28"/>
          <w:szCs w:val="28"/>
          <w:highlight w:val="none"/>
        </w:rPr>
      </w:pPr>
      <w:bookmarkStart w:id="788" w:name="_Toc2003794117"/>
      <w:r>
        <w:rPr>
          <w:rFonts w:ascii="Times New Roman" w:hAnsi="Times New Roman"/>
          <w:b w:val="0"/>
          <w:sz w:val="28"/>
          <w:szCs w:val="28"/>
          <w:highlight w:val="none"/>
        </w:rPr>
        <w:t>三、质量标准</w:t>
      </w:r>
      <w:bookmarkEnd w:id="788"/>
    </w:p>
    <w:p>
      <w:pPr>
        <w:spacing w:line="440" w:lineRule="exact"/>
        <w:ind w:firstLine="405"/>
        <w:rPr>
          <w:rFonts w:ascii="Times New Roman" w:hAnsi="Times New Roman"/>
          <w:b/>
          <w:szCs w:val="21"/>
          <w:highlight w:val="none"/>
        </w:rPr>
      </w:pPr>
    </w:p>
    <w:p>
      <w:pPr>
        <w:spacing w:line="440" w:lineRule="exact"/>
        <w:ind w:firstLine="405"/>
        <w:rPr>
          <w:rFonts w:ascii="Times New Roman" w:hAnsi="Times New Roman"/>
          <w:b/>
          <w:szCs w:val="21"/>
          <w:highlight w:val="none"/>
        </w:rPr>
      </w:pPr>
    </w:p>
    <w:bookmarkEnd w:id="770"/>
    <w:bookmarkEnd w:id="771"/>
    <w:bookmarkEnd w:id="772"/>
    <w:bookmarkEnd w:id="773"/>
    <w:p>
      <w:pPr>
        <w:pStyle w:val="3"/>
        <w:spacing w:line="240" w:lineRule="auto"/>
        <w:rPr>
          <w:rFonts w:ascii="Times New Roman" w:hAnsi="Times New Roman"/>
          <w:b w:val="0"/>
          <w:sz w:val="28"/>
          <w:szCs w:val="28"/>
          <w:highlight w:val="none"/>
        </w:rPr>
      </w:pPr>
      <w:bookmarkStart w:id="789" w:name="_Toc366830876"/>
      <w:r>
        <w:rPr>
          <w:rFonts w:ascii="Times New Roman" w:hAnsi="Times New Roman"/>
          <w:b w:val="0"/>
          <w:sz w:val="28"/>
          <w:szCs w:val="28"/>
          <w:highlight w:val="none"/>
        </w:rPr>
        <w:t>四、验收标准</w:t>
      </w:r>
      <w:bookmarkEnd w:id="789"/>
    </w:p>
    <w:p>
      <w:pPr>
        <w:pStyle w:val="25"/>
        <w:spacing w:line="440" w:lineRule="exact"/>
        <w:ind w:left="0" w:leftChars="0"/>
        <w:rPr>
          <w:rFonts w:ascii="Times New Roman" w:hAnsi="Times New Roman"/>
          <w:b/>
          <w:sz w:val="21"/>
          <w:szCs w:val="21"/>
          <w:highlight w:val="none"/>
        </w:rPr>
      </w:pPr>
    </w:p>
    <w:p>
      <w:pPr>
        <w:pStyle w:val="25"/>
        <w:spacing w:line="440" w:lineRule="exact"/>
        <w:ind w:left="0" w:leftChars="0"/>
        <w:rPr>
          <w:rFonts w:ascii="Times New Roman" w:hAnsi="Times New Roman"/>
          <w:b/>
          <w:sz w:val="21"/>
          <w:szCs w:val="21"/>
          <w:highlight w:val="none"/>
        </w:rPr>
      </w:pPr>
    </w:p>
    <w:p>
      <w:pPr>
        <w:pStyle w:val="3"/>
        <w:spacing w:line="240" w:lineRule="auto"/>
        <w:rPr>
          <w:rFonts w:ascii="Times New Roman" w:hAnsi="Times New Roman"/>
          <w:b w:val="0"/>
          <w:sz w:val="28"/>
          <w:szCs w:val="28"/>
          <w:highlight w:val="none"/>
        </w:rPr>
      </w:pPr>
      <w:bookmarkStart w:id="790" w:name="_Toc884209499"/>
      <w:r>
        <w:rPr>
          <w:rFonts w:ascii="Times New Roman" w:hAnsi="Times New Roman"/>
          <w:b w:val="0"/>
          <w:sz w:val="28"/>
          <w:szCs w:val="28"/>
          <w:highlight w:val="none"/>
        </w:rPr>
        <w:t>五、相关服务要求</w:t>
      </w:r>
      <w:bookmarkEnd w:id="790"/>
    </w:p>
    <w:p>
      <w:pPr>
        <w:spacing w:line="400" w:lineRule="exact"/>
        <w:jc w:val="center"/>
        <w:rPr>
          <w:rFonts w:ascii="Times New Roman" w:hAnsi="Times New Roman"/>
          <w:highlight w:val="none"/>
        </w:rPr>
      </w:pPr>
      <w:r>
        <w:rPr>
          <w:rFonts w:ascii="Times New Roman" w:hAnsi="Times New Roman"/>
          <w:highlight w:val="none"/>
        </w:rPr>
        <w:br w:type="page"/>
      </w:r>
    </w:p>
    <w:p>
      <w:pPr>
        <w:pStyle w:val="2"/>
        <w:jc w:val="center"/>
        <w:rPr>
          <w:highlight w:val="none"/>
        </w:rPr>
      </w:pPr>
      <w:bookmarkStart w:id="791" w:name="_Toc79054280"/>
    </w:p>
    <w:p>
      <w:pPr>
        <w:pStyle w:val="2"/>
        <w:jc w:val="center"/>
        <w:rPr>
          <w:highlight w:val="none"/>
        </w:rPr>
      </w:pPr>
      <w:bookmarkStart w:id="792" w:name="_Toc777660537"/>
      <w:r>
        <w:rPr>
          <w:highlight w:val="none"/>
        </w:rPr>
        <w:t>第六章投标文件格式</w:t>
      </w:r>
      <w:bookmarkEnd w:id="791"/>
      <w:bookmarkEnd w:id="792"/>
    </w:p>
    <w:p>
      <w:pPr>
        <w:spacing w:line="400" w:lineRule="exact"/>
        <w:rPr>
          <w:rFonts w:ascii="Times New Roman" w:hAnsi="Times New Roman"/>
          <w:highlight w:val="none"/>
        </w:rPr>
      </w:pPr>
    </w:p>
    <w:p>
      <w:pPr>
        <w:spacing w:line="400" w:lineRule="exact"/>
        <w:rPr>
          <w:rFonts w:ascii="Times New Roman" w:hAnsi="Times New Roman"/>
          <w:highlight w:val="none"/>
        </w:rPr>
      </w:pPr>
      <w:r>
        <w:rPr>
          <w:rFonts w:ascii="Times New Roman" w:hAnsi="Times New Roman"/>
          <w:highlight w:val="none"/>
        </w:rPr>
        <w:br w:type="page"/>
      </w:r>
    </w:p>
    <w:p>
      <w:pPr>
        <w:spacing w:line="400" w:lineRule="exact"/>
        <w:rPr>
          <w:rFonts w:ascii="Times New Roman" w:hAnsi="Times New Roman"/>
          <w:highlight w:val="none"/>
        </w:rPr>
      </w:pPr>
    </w:p>
    <w:p>
      <w:pPr>
        <w:spacing w:line="400" w:lineRule="exact"/>
        <w:rPr>
          <w:rFonts w:ascii="Times New Roman" w:hAnsi="Times New Roman"/>
          <w:highlight w:val="none"/>
        </w:rPr>
      </w:pPr>
    </w:p>
    <w:p>
      <w:pPr>
        <w:spacing w:line="400" w:lineRule="exact"/>
        <w:rPr>
          <w:rFonts w:ascii="Times New Roman" w:hAnsi="Times New Roman"/>
          <w:highlight w:val="none"/>
        </w:rPr>
      </w:pPr>
    </w:p>
    <w:p>
      <w:pPr>
        <w:jc w:val="center"/>
        <w:rPr>
          <w:rFonts w:ascii="Times New Roman" w:hAnsi="Times New Roman" w:eastAsia="黑体"/>
          <w:sz w:val="28"/>
          <w:szCs w:val="28"/>
          <w:highlight w:val="none"/>
        </w:rPr>
      </w:pPr>
      <w:r>
        <w:rPr>
          <w:rFonts w:ascii="Times New Roman" w:hAnsi="Times New Roman" w:eastAsia="黑体"/>
          <w:sz w:val="28"/>
          <w:szCs w:val="28"/>
          <w:highlight w:val="none"/>
          <w:u w:val="single"/>
        </w:rPr>
        <w:t xml:space="preserve">        </w:t>
      </w:r>
      <w:r>
        <w:rPr>
          <w:rFonts w:ascii="Times New Roman" w:hAnsi="Times New Roman" w:eastAsia="黑体"/>
          <w:sz w:val="28"/>
          <w:szCs w:val="28"/>
          <w:highlight w:val="none"/>
        </w:rPr>
        <w:t>（项目名称）</w:t>
      </w:r>
      <w:r>
        <w:rPr>
          <w:rFonts w:ascii="Times New Roman" w:hAnsi="Times New Roman" w:eastAsia="黑体"/>
          <w:sz w:val="28"/>
          <w:szCs w:val="28"/>
          <w:highlight w:val="none"/>
          <w:u w:val="single"/>
        </w:rPr>
        <w:t xml:space="preserve">        </w:t>
      </w:r>
      <w:r>
        <w:rPr>
          <w:rFonts w:ascii="Times New Roman" w:hAnsi="Times New Roman" w:eastAsia="黑体"/>
          <w:sz w:val="28"/>
          <w:szCs w:val="28"/>
          <w:highlight w:val="none"/>
        </w:rPr>
        <w:t>（</w:t>
      </w:r>
      <w:r>
        <w:rPr>
          <w:rFonts w:hint="eastAsia" w:ascii="Times New Roman" w:hAnsi="Times New Roman" w:eastAsia="黑体"/>
          <w:sz w:val="28"/>
          <w:szCs w:val="28"/>
          <w:highlight w:val="none"/>
          <w:lang w:val="en-US" w:eastAsia="zh-CN"/>
        </w:rPr>
        <w:t>标段</w:t>
      </w:r>
      <w:r>
        <w:rPr>
          <w:rFonts w:ascii="Times New Roman" w:hAnsi="Times New Roman" w:eastAsia="黑体"/>
          <w:sz w:val="28"/>
          <w:szCs w:val="28"/>
          <w:highlight w:val="none"/>
        </w:rPr>
        <w:t>名称）</w:t>
      </w:r>
    </w:p>
    <w:p>
      <w:pPr>
        <w:rPr>
          <w:rFonts w:ascii="Times New Roman" w:hAnsi="Times New Roman" w:eastAsia="黑体"/>
          <w:color w:val="000000"/>
          <w:sz w:val="20"/>
          <w:highlight w:val="none"/>
        </w:rPr>
      </w:pPr>
    </w:p>
    <w:p>
      <w:pPr>
        <w:rPr>
          <w:rFonts w:ascii="Times New Roman" w:hAnsi="Times New Roman" w:eastAsia="黑体"/>
          <w:color w:val="000000"/>
          <w:sz w:val="20"/>
          <w:highlight w:val="none"/>
        </w:rPr>
      </w:pPr>
    </w:p>
    <w:p>
      <w:pPr>
        <w:pStyle w:val="3"/>
        <w:jc w:val="center"/>
        <w:rPr>
          <w:rFonts w:ascii="Times New Roman" w:hAnsi="Times New Roman" w:eastAsia="黑体"/>
          <w:color w:val="000000"/>
          <w:sz w:val="44"/>
          <w:highlight w:val="none"/>
        </w:rPr>
      </w:pPr>
      <w:bookmarkStart w:id="793" w:name="_Toc160236929"/>
      <w:bookmarkStart w:id="794" w:name="_Toc1446860251"/>
      <w:r>
        <w:rPr>
          <w:rFonts w:ascii="Times New Roman" w:hAnsi="Times New Roman"/>
          <w:b/>
          <w:color w:val="000000"/>
          <w:sz w:val="36"/>
          <w:szCs w:val="36"/>
          <w:highlight w:val="none"/>
        </w:rPr>
        <w:t>投标文件</w:t>
      </w:r>
      <w:r>
        <w:rPr>
          <w:rFonts w:hint="eastAsia" w:ascii="Times New Roman" w:hAnsi="Times New Roman"/>
          <w:b/>
          <w:color w:val="000000"/>
          <w:sz w:val="36"/>
          <w:szCs w:val="36"/>
          <w:highlight w:val="none"/>
        </w:rPr>
        <w:t>（商务标）</w:t>
      </w:r>
      <w:bookmarkEnd w:id="793"/>
      <w:bookmarkEnd w:id="794"/>
    </w:p>
    <w:p>
      <w:pPr>
        <w:jc w:val="center"/>
        <w:rPr>
          <w:rFonts w:ascii="Times New Roman" w:hAnsi="Times New Roman" w:eastAsia="黑体"/>
          <w:color w:val="000000"/>
          <w:sz w:val="44"/>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spacing w:line="360" w:lineRule="auto"/>
        <w:ind w:firstLine="1120" w:firstLineChars="400"/>
        <w:rPr>
          <w:rFonts w:ascii="Times New Roman" w:hAnsi="Times New Roman" w:eastAsia="黑体"/>
          <w:color w:val="000000"/>
          <w:sz w:val="28"/>
          <w:highlight w:val="none"/>
          <w:u w:val="single"/>
        </w:rPr>
      </w:pPr>
      <w:r>
        <w:rPr>
          <w:rFonts w:ascii="Times New Roman" w:hAnsi="Times New Roman" w:eastAsia="黑体"/>
          <w:color w:val="000000"/>
          <w:sz w:val="28"/>
          <w:highlight w:val="none"/>
        </w:rPr>
        <w:t>投标人：</w:t>
      </w:r>
      <w:r>
        <w:rPr>
          <w:rFonts w:ascii="Times New Roman" w:hAnsi="Times New Roman"/>
          <w:color w:val="000000"/>
          <w:highlight w:val="none"/>
          <w:u w:val="single"/>
        </w:rPr>
        <w:t xml:space="preserve">                                            </w:t>
      </w:r>
      <w:r>
        <w:rPr>
          <w:rFonts w:ascii="Times New Roman" w:hAnsi="Times New Roman" w:eastAsia="黑体"/>
          <w:color w:val="000000"/>
          <w:sz w:val="28"/>
          <w:highlight w:val="none"/>
        </w:rPr>
        <w:t>（盖单位章）</w:t>
      </w:r>
    </w:p>
    <w:p>
      <w:pPr>
        <w:jc w:val="center"/>
        <w:rPr>
          <w:rFonts w:ascii="Times New Roman" w:hAnsi="Times New Roman" w:eastAsia="黑体"/>
          <w:color w:val="000000"/>
          <w:sz w:val="28"/>
          <w:highlight w:val="none"/>
        </w:rPr>
      </w:pPr>
    </w:p>
    <w:p>
      <w:pPr>
        <w:spacing w:line="400" w:lineRule="exact"/>
        <w:jc w:val="center"/>
        <w:rPr>
          <w:rFonts w:ascii="Times New Roman" w:hAnsi="Times New Roman"/>
          <w:color w:val="000000"/>
          <w:highlight w:val="none"/>
        </w:rPr>
      </w:pPr>
      <w:r>
        <w:rPr>
          <w:rFonts w:ascii="Times New Roman" w:hAnsi="Times New Roman"/>
          <w:color w:val="000000"/>
          <w:highlight w:val="none"/>
          <w:u w:val="single"/>
        </w:rPr>
        <w:t xml:space="preserve">       </w:t>
      </w:r>
      <w:r>
        <w:rPr>
          <w:rFonts w:ascii="Times New Roman" w:hAnsi="Times New Roman" w:eastAsia="黑体"/>
          <w:color w:val="000000"/>
          <w:sz w:val="28"/>
          <w:highlight w:val="none"/>
        </w:rPr>
        <w:t>年</w:t>
      </w:r>
      <w:r>
        <w:rPr>
          <w:rFonts w:ascii="Times New Roman" w:hAnsi="Times New Roman"/>
          <w:color w:val="000000"/>
          <w:highlight w:val="none"/>
          <w:u w:val="single"/>
        </w:rPr>
        <w:t xml:space="preserve">       </w:t>
      </w:r>
      <w:r>
        <w:rPr>
          <w:rFonts w:ascii="Times New Roman" w:hAnsi="Times New Roman" w:eastAsia="黑体"/>
          <w:color w:val="000000"/>
          <w:sz w:val="28"/>
          <w:highlight w:val="none"/>
        </w:rPr>
        <w:t>月</w:t>
      </w:r>
      <w:r>
        <w:rPr>
          <w:rFonts w:ascii="Times New Roman" w:hAnsi="Times New Roman"/>
          <w:color w:val="000000"/>
          <w:highlight w:val="none"/>
          <w:u w:val="single"/>
        </w:rPr>
        <w:t xml:space="preserve">       </w:t>
      </w:r>
      <w:r>
        <w:rPr>
          <w:rFonts w:ascii="Times New Roman" w:hAnsi="Times New Roman" w:eastAsia="黑体"/>
          <w:color w:val="000000"/>
          <w:sz w:val="28"/>
          <w:highlight w:val="none"/>
        </w:rPr>
        <w:t>日</w:t>
      </w:r>
      <w:r>
        <w:rPr>
          <w:rFonts w:ascii="Times New Roman" w:hAnsi="Times New Roman"/>
          <w:color w:val="000000"/>
          <w:highlight w:val="none"/>
        </w:rPr>
        <w:br w:type="page"/>
      </w:r>
    </w:p>
    <w:p>
      <w:pPr>
        <w:pStyle w:val="3"/>
        <w:jc w:val="center"/>
        <w:rPr>
          <w:rFonts w:ascii="Times New Roman" w:hAnsi="Times New Roman"/>
          <w:color w:val="000000"/>
          <w:highlight w:val="none"/>
        </w:rPr>
      </w:pPr>
      <w:bookmarkStart w:id="795" w:name="_Toc1139967573"/>
      <w:r>
        <w:rPr>
          <w:rFonts w:ascii="Times New Roman" w:hAnsi="Times New Roman"/>
          <w:color w:val="000000"/>
          <w:highlight w:val="none"/>
        </w:rPr>
        <w:t>目录</w:t>
      </w:r>
      <w:bookmarkEnd w:id="795"/>
    </w:p>
    <w:p>
      <w:pPr>
        <w:spacing w:line="540" w:lineRule="exact"/>
        <w:rPr>
          <w:rFonts w:ascii="Times New Roman" w:hAnsi="Times New Roman"/>
          <w:color w:val="000000"/>
          <w:highlight w:val="none"/>
        </w:rPr>
      </w:pPr>
    </w:p>
    <w:p>
      <w:pPr>
        <w:spacing w:line="540" w:lineRule="exact"/>
        <w:rPr>
          <w:rFonts w:ascii="Times New Roman" w:hAnsi="Times New Roman"/>
          <w:highlight w:val="none"/>
        </w:rPr>
      </w:pPr>
      <w:r>
        <w:rPr>
          <w:rFonts w:ascii="Times New Roman" w:hAnsi="Times New Roman"/>
          <w:highlight w:val="none"/>
        </w:rPr>
        <w:t>一、投标函</w:t>
      </w:r>
    </w:p>
    <w:p>
      <w:pPr>
        <w:spacing w:line="540" w:lineRule="exact"/>
        <w:rPr>
          <w:rFonts w:ascii="Times New Roman" w:hAnsi="Times New Roman"/>
          <w:highlight w:val="none"/>
        </w:rPr>
      </w:pPr>
      <w:r>
        <w:rPr>
          <w:rFonts w:ascii="Times New Roman" w:hAnsi="Times New Roman"/>
          <w:highlight w:val="none"/>
        </w:rPr>
        <w:t>二、法定代表人（单位负责人）身份证明（适用于无委托代理人的情况）</w:t>
      </w:r>
    </w:p>
    <w:p>
      <w:pPr>
        <w:spacing w:line="540" w:lineRule="exact"/>
        <w:rPr>
          <w:rFonts w:ascii="Times New Roman" w:hAnsi="Times New Roman"/>
          <w:highlight w:val="none"/>
        </w:rPr>
      </w:pPr>
      <w:r>
        <w:rPr>
          <w:rFonts w:ascii="Times New Roman" w:hAnsi="Times New Roman"/>
          <w:highlight w:val="none"/>
        </w:rPr>
        <w:t>二、授权委托书（适用于有委托代理人的情况）</w:t>
      </w:r>
    </w:p>
    <w:p>
      <w:pPr>
        <w:spacing w:line="540" w:lineRule="exact"/>
        <w:rPr>
          <w:rFonts w:ascii="Times New Roman" w:hAnsi="Times New Roman"/>
          <w:highlight w:val="none"/>
        </w:rPr>
      </w:pPr>
      <w:r>
        <w:rPr>
          <w:rFonts w:ascii="Times New Roman" w:hAnsi="Times New Roman"/>
          <w:highlight w:val="none"/>
        </w:rPr>
        <w:t>三、联合体协议书</w:t>
      </w:r>
    </w:p>
    <w:p>
      <w:pPr>
        <w:spacing w:line="540" w:lineRule="exact"/>
        <w:rPr>
          <w:rFonts w:ascii="Times New Roman" w:hAnsi="Times New Roman"/>
          <w:highlight w:val="none"/>
        </w:rPr>
      </w:pPr>
      <w:r>
        <w:rPr>
          <w:rFonts w:ascii="Times New Roman" w:hAnsi="Times New Roman"/>
          <w:highlight w:val="none"/>
        </w:rPr>
        <w:t>四、投标保证金</w:t>
      </w:r>
    </w:p>
    <w:p>
      <w:pPr>
        <w:spacing w:line="540" w:lineRule="exact"/>
        <w:rPr>
          <w:rFonts w:ascii="Times New Roman" w:hAnsi="Times New Roman"/>
          <w:highlight w:val="none"/>
        </w:rPr>
      </w:pPr>
      <w:r>
        <w:rPr>
          <w:rFonts w:ascii="Times New Roman" w:hAnsi="Times New Roman"/>
          <w:highlight w:val="none"/>
        </w:rPr>
        <w:t>五、商务偏差表</w:t>
      </w:r>
    </w:p>
    <w:p>
      <w:pPr>
        <w:spacing w:line="540" w:lineRule="exact"/>
        <w:rPr>
          <w:rFonts w:ascii="Times New Roman" w:hAnsi="Times New Roman"/>
          <w:highlight w:val="none"/>
        </w:rPr>
      </w:pPr>
      <w:r>
        <w:rPr>
          <w:rFonts w:ascii="Times New Roman" w:hAnsi="Times New Roman"/>
          <w:highlight w:val="none"/>
        </w:rPr>
        <w:t>六、分项报价表</w:t>
      </w:r>
    </w:p>
    <w:p>
      <w:pPr>
        <w:spacing w:line="540" w:lineRule="exact"/>
        <w:rPr>
          <w:rFonts w:ascii="Times New Roman" w:hAnsi="Times New Roman"/>
          <w:highlight w:val="none"/>
        </w:rPr>
      </w:pPr>
      <w:r>
        <w:rPr>
          <w:rFonts w:ascii="Times New Roman" w:hAnsi="Times New Roman"/>
          <w:highlight w:val="none"/>
        </w:rPr>
        <w:t>七、资格审查资料</w:t>
      </w:r>
    </w:p>
    <w:p>
      <w:pPr>
        <w:spacing w:line="540" w:lineRule="exact"/>
        <w:rPr>
          <w:rFonts w:ascii="Times New Roman" w:hAnsi="Times New Roman"/>
          <w:highlight w:val="none"/>
        </w:rPr>
      </w:pPr>
      <w:bookmarkStart w:id="796" w:name="_Toc7039"/>
      <w:bookmarkStart w:id="797" w:name="_Toc352691655"/>
      <w:bookmarkStart w:id="798" w:name="_Toc369531691"/>
      <w:r>
        <w:rPr>
          <w:rFonts w:hint="eastAsia" w:ascii="Times New Roman" w:hAnsi="Times New Roman"/>
          <w:highlight w:val="none"/>
        </w:rPr>
        <w:t>九</w:t>
      </w:r>
      <w:r>
        <w:rPr>
          <w:rFonts w:ascii="Times New Roman" w:hAnsi="Times New Roman"/>
          <w:highlight w:val="none"/>
        </w:rPr>
        <w:t>、其他资料</w:t>
      </w:r>
    </w:p>
    <w:p>
      <w:pPr>
        <w:spacing w:line="540" w:lineRule="exact"/>
        <w:rPr>
          <w:rFonts w:ascii="Times New Roman" w:hAnsi="Times New Roman"/>
          <w:highlight w:val="none"/>
        </w:rPr>
      </w:pPr>
    </w:p>
    <w:p>
      <w:pPr>
        <w:spacing w:line="540" w:lineRule="exact"/>
        <w:rPr>
          <w:rFonts w:ascii="Times New Roman" w:hAnsi="Times New Roman" w:eastAsia="黑体"/>
          <w:sz w:val="20"/>
          <w:highlight w:val="none"/>
        </w:rPr>
      </w:pPr>
      <w:r>
        <w:rPr>
          <w:rFonts w:ascii="Times New Roman" w:hAnsi="Times New Roman"/>
          <w:highlight w:val="none"/>
        </w:rPr>
        <w:br w:type="page"/>
      </w:r>
    </w:p>
    <w:bookmarkEnd w:id="796"/>
    <w:bookmarkEnd w:id="797"/>
    <w:bookmarkEnd w:id="798"/>
    <w:p>
      <w:pPr>
        <w:pStyle w:val="3"/>
        <w:jc w:val="center"/>
        <w:rPr>
          <w:rFonts w:ascii="Times New Roman" w:hAnsi="Times New Roman"/>
          <w:highlight w:val="none"/>
        </w:rPr>
      </w:pPr>
      <w:bookmarkStart w:id="799" w:name="_Toc1880939012"/>
      <w:r>
        <w:rPr>
          <w:rFonts w:ascii="Times New Roman" w:hAnsi="Times New Roman"/>
          <w:highlight w:val="none"/>
        </w:rPr>
        <w:t>一、投标</w:t>
      </w:r>
      <w:bookmarkStart w:id="800" w:name="_Toc352691656"/>
      <w:bookmarkStart w:id="801" w:name="_Toc6931"/>
      <w:bookmarkStart w:id="802" w:name="_Toc369531692"/>
      <w:r>
        <w:rPr>
          <w:rFonts w:ascii="Times New Roman" w:hAnsi="Times New Roman"/>
          <w:highlight w:val="none"/>
        </w:rPr>
        <w:t>函</w:t>
      </w:r>
      <w:bookmarkEnd w:id="799"/>
    </w:p>
    <w:bookmarkEnd w:id="800"/>
    <w:bookmarkEnd w:id="801"/>
    <w:bookmarkEnd w:id="802"/>
    <w:p>
      <w:pPr>
        <w:spacing w:line="440" w:lineRule="exact"/>
        <w:rPr>
          <w:rFonts w:ascii="Times New Roman" w:hAnsi="Times New Roman"/>
          <w:szCs w:val="21"/>
          <w:highlight w:val="none"/>
        </w:rPr>
      </w:pPr>
      <w:r>
        <w:rPr>
          <w:rFonts w:ascii="Times New Roman" w:hAnsi="Times New Roman"/>
          <w:highlight w:val="none"/>
          <w:u w:val="single"/>
        </w:rPr>
        <w:t xml:space="preserve">                  </w:t>
      </w:r>
      <w:r>
        <w:rPr>
          <w:rFonts w:ascii="Times New Roman" w:hAnsi="Times New Roman"/>
          <w:szCs w:val="21"/>
          <w:highlight w:val="none"/>
        </w:rPr>
        <w:t>（招标人名称）：</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1．我方已仔细研究了</w:t>
      </w:r>
      <w:r>
        <w:rPr>
          <w:rFonts w:ascii="Times New Roman" w:hAnsi="Times New Roman"/>
          <w:highlight w:val="none"/>
          <w:u w:val="single"/>
        </w:rPr>
        <w:t xml:space="preserve">                  </w:t>
      </w:r>
      <w:r>
        <w:rPr>
          <w:rFonts w:ascii="Times New Roman" w:hAnsi="Times New Roman"/>
          <w:color w:val="000000"/>
          <w:highlight w:val="none"/>
        </w:rPr>
        <w:t>（项目名称）</w:t>
      </w:r>
      <w:r>
        <w:rPr>
          <w:rFonts w:ascii="Times New Roman" w:hAnsi="Times New Roman"/>
          <w:highlight w:val="none"/>
          <w:u w:val="single"/>
        </w:rPr>
        <w:t xml:space="preserve">        </w:t>
      </w:r>
      <w:r>
        <w:rPr>
          <w:rFonts w:ascii="Times New Roman" w:hAnsi="Times New Roman"/>
          <w:color w:val="000000"/>
          <w:highlight w:val="none"/>
        </w:rPr>
        <w:t>（</w:t>
      </w:r>
      <w:r>
        <w:rPr>
          <w:rFonts w:hint="eastAsia" w:ascii="Times New Roman" w:hAnsi="Times New Roman"/>
          <w:color w:val="000000"/>
          <w:highlight w:val="none"/>
          <w:lang w:val="en-US" w:eastAsia="zh-CN"/>
        </w:rPr>
        <w:t>标段</w:t>
      </w:r>
      <w:r>
        <w:rPr>
          <w:rFonts w:ascii="Times New Roman" w:hAnsi="Times New Roman"/>
          <w:color w:val="000000"/>
          <w:highlight w:val="none"/>
        </w:rPr>
        <w:t>名称）招标项目</w:t>
      </w:r>
      <w:r>
        <w:rPr>
          <w:rFonts w:ascii="Times New Roman" w:hAnsi="Times New Roman"/>
          <w:szCs w:val="21"/>
          <w:highlight w:val="none"/>
        </w:rPr>
        <w:t>招标文件的全部内容，愿意以人民币（大写）</w:t>
      </w:r>
      <w:r>
        <w:rPr>
          <w:rFonts w:ascii="Times New Roman" w:hAnsi="Times New Roman"/>
          <w:highlight w:val="none"/>
          <w:u w:val="single"/>
        </w:rPr>
        <w:t xml:space="preserve">               </w:t>
      </w:r>
      <w:r>
        <w:rPr>
          <w:rFonts w:ascii="Times New Roman" w:hAnsi="Times New Roman"/>
          <w:szCs w:val="21"/>
          <w:highlight w:val="none"/>
        </w:rPr>
        <w:t>（¥</w:t>
      </w:r>
      <w:r>
        <w:rPr>
          <w:rFonts w:ascii="Times New Roman" w:hAnsi="Times New Roman"/>
          <w:highlight w:val="none"/>
          <w:u w:val="single"/>
        </w:rPr>
        <w:t xml:space="preserve">               </w:t>
      </w:r>
      <w:r>
        <w:rPr>
          <w:rFonts w:ascii="Times New Roman" w:hAnsi="Times New Roman"/>
          <w:szCs w:val="21"/>
          <w:highlight w:val="none"/>
        </w:rPr>
        <w:t>）的投标总报价（其中，增值税税率为</w:t>
      </w:r>
      <w:r>
        <w:rPr>
          <w:rFonts w:ascii="Times New Roman" w:hAnsi="Times New Roman" w:eastAsia="黑体"/>
          <w:color w:val="000000"/>
          <w:sz w:val="28"/>
          <w:highlight w:val="none"/>
          <w:u w:val="single"/>
        </w:rPr>
        <w:t xml:space="preserve">         </w:t>
      </w:r>
      <w:r>
        <w:rPr>
          <w:rFonts w:ascii="Times New Roman" w:hAnsi="Times New Roman"/>
          <w:szCs w:val="21"/>
          <w:highlight w:val="none"/>
        </w:rPr>
        <w:t>）提供</w:t>
      </w:r>
      <w:r>
        <w:rPr>
          <w:rFonts w:ascii="Times New Roman" w:hAnsi="Times New Roman"/>
          <w:highlight w:val="none"/>
          <w:u w:val="single"/>
        </w:rPr>
        <w:t xml:space="preserve">                 </w:t>
      </w:r>
      <w:r>
        <w:rPr>
          <w:rFonts w:ascii="Times New Roman" w:hAnsi="Times New Roman"/>
          <w:szCs w:val="21"/>
          <w:highlight w:val="none"/>
        </w:rPr>
        <w:t>（材料名称及相关服务），并按合同约定履行义务。</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2. 我方的投标文件包括下列内容：</w:t>
      </w:r>
    </w:p>
    <w:p>
      <w:pPr>
        <w:spacing w:line="400" w:lineRule="exact"/>
        <w:ind w:firstLine="405"/>
        <w:rPr>
          <w:rFonts w:ascii="Times New Roman" w:hAnsi="Times New Roman"/>
          <w:highlight w:val="none"/>
        </w:rPr>
      </w:pPr>
      <w:r>
        <w:rPr>
          <w:rFonts w:ascii="Times New Roman" w:hAnsi="Times New Roman"/>
          <w:highlight w:val="none"/>
        </w:rPr>
        <w:t>（1）投标函；</w:t>
      </w:r>
    </w:p>
    <w:p>
      <w:pPr>
        <w:spacing w:line="400" w:lineRule="exact"/>
        <w:ind w:firstLine="405"/>
        <w:rPr>
          <w:rFonts w:ascii="Times New Roman" w:hAnsi="Times New Roman"/>
          <w:highlight w:val="none"/>
        </w:rPr>
      </w:pPr>
      <w:r>
        <w:rPr>
          <w:rFonts w:ascii="Times New Roman" w:hAnsi="Times New Roman"/>
          <w:highlight w:val="none"/>
        </w:rPr>
        <w:t>（2）法定代表人（单位负责人）身份证明或授权委托书；</w:t>
      </w:r>
    </w:p>
    <w:p>
      <w:pPr>
        <w:spacing w:line="400" w:lineRule="exact"/>
        <w:ind w:firstLine="405"/>
        <w:rPr>
          <w:rFonts w:ascii="Times New Roman" w:hAnsi="Times New Roman"/>
          <w:highlight w:val="none"/>
        </w:rPr>
      </w:pPr>
      <w:r>
        <w:rPr>
          <w:rFonts w:ascii="Times New Roman" w:hAnsi="Times New Roman"/>
          <w:highlight w:val="none"/>
        </w:rPr>
        <w:t>（3）联合体协议书（如有）；</w:t>
      </w:r>
    </w:p>
    <w:p>
      <w:pPr>
        <w:spacing w:line="400" w:lineRule="exact"/>
        <w:ind w:firstLine="405"/>
        <w:rPr>
          <w:rFonts w:ascii="Times New Roman" w:hAnsi="Times New Roman"/>
          <w:highlight w:val="none"/>
        </w:rPr>
      </w:pPr>
      <w:r>
        <w:rPr>
          <w:rFonts w:ascii="Times New Roman" w:hAnsi="Times New Roman"/>
          <w:highlight w:val="none"/>
        </w:rPr>
        <w:t>（4）投标保证金（如有）；</w:t>
      </w:r>
    </w:p>
    <w:p>
      <w:pPr>
        <w:spacing w:line="400" w:lineRule="exact"/>
        <w:ind w:firstLine="405"/>
        <w:rPr>
          <w:rFonts w:ascii="Times New Roman" w:hAnsi="Times New Roman"/>
          <w:highlight w:val="none"/>
        </w:rPr>
      </w:pPr>
      <w:r>
        <w:rPr>
          <w:rFonts w:ascii="Times New Roman" w:hAnsi="Times New Roman"/>
          <w:highlight w:val="none"/>
        </w:rPr>
        <w:t>（5）商务和技术偏差表；</w:t>
      </w:r>
    </w:p>
    <w:p>
      <w:pPr>
        <w:spacing w:line="400" w:lineRule="exact"/>
        <w:ind w:firstLine="405"/>
        <w:rPr>
          <w:rFonts w:ascii="Times New Roman" w:hAnsi="Times New Roman"/>
          <w:highlight w:val="none"/>
        </w:rPr>
      </w:pPr>
      <w:r>
        <w:rPr>
          <w:rFonts w:ascii="Times New Roman" w:hAnsi="Times New Roman"/>
          <w:highlight w:val="none"/>
        </w:rPr>
        <w:t>（6）分项报价表；</w:t>
      </w:r>
    </w:p>
    <w:p>
      <w:pPr>
        <w:spacing w:line="400" w:lineRule="exact"/>
        <w:ind w:firstLine="405"/>
        <w:rPr>
          <w:rFonts w:ascii="Times New Roman" w:hAnsi="Times New Roman"/>
          <w:highlight w:val="none"/>
        </w:rPr>
      </w:pPr>
      <w:r>
        <w:rPr>
          <w:rFonts w:ascii="Times New Roman" w:hAnsi="Times New Roman"/>
          <w:highlight w:val="none"/>
        </w:rPr>
        <w:t>（7）资格审查资料；</w:t>
      </w:r>
    </w:p>
    <w:p>
      <w:pPr>
        <w:spacing w:line="400" w:lineRule="exact"/>
        <w:ind w:firstLine="405"/>
        <w:rPr>
          <w:rFonts w:ascii="Times New Roman" w:hAnsi="Times New Roman"/>
          <w:highlight w:val="none"/>
        </w:rPr>
      </w:pPr>
      <w:r>
        <w:rPr>
          <w:rFonts w:ascii="Times New Roman" w:hAnsi="Times New Roman"/>
          <w:highlight w:val="none"/>
        </w:rPr>
        <w:t>（8）投标材料质量标准的详细描述；</w:t>
      </w:r>
    </w:p>
    <w:p>
      <w:pPr>
        <w:spacing w:line="400" w:lineRule="exact"/>
        <w:ind w:firstLine="405"/>
        <w:rPr>
          <w:rFonts w:ascii="Times New Roman" w:hAnsi="Times New Roman"/>
          <w:highlight w:val="none"/>
        </w:rPr>
      </w:pPr>
      <w:r>
        <w:rPr>
          <w:rFonts w:ascii="Times New Roman" w:hAnsi="Times New Roman"/>
          <w:highlight w:val="none"/>
        </w:rPr>
        <w:t>（9）技术支持资料；</w:t>
      </w:r>
    </w:p>
    <w:p>
      <w:pPr>
        <w:spacing w:line="400" w:lineRule="exact"/>
        <w:ind w:firstLine="405"/>
        <w:rPr>
          <w:rFonts w:ascii="Times New Roman" w:hAnsi="Times New Roman"/>
          <w:highlight w:val="none"/>
        </w:rPr>
      </w:pPr>
      <w:r>
        <w:rPr>
          <w:rFonts w:ascii="Times New Roman" w:hAnsi="Times New Roman"/>
          <w:highlight w:val="none"/>
        </w:rPr>
        <w:t>（10）相关服务计划；</w:t>
      </w:r>
    </w:p>
    <w:p>
      <w:pPr>
        <w:spacing w:line="400" w:lineRule="exact"/>
        <w:ind w:firstLine="405"/>
        <w:rPr>
          <w:rFonts w:ascii="Times New Roman" w:hAnsi="Times New Roman"/>
          <w:color w:val="000000"/>
          <w:sz w:val="22"/>
          <w:highlight w:val="none"/>
        </w:rPr>
      </w:pPr>
      <w:r>
        <w:rPr>
          <w:rFonts w:ascii="Times New Roman" w:hAnsi="Times New Roman"/>
          <w:color w:val="000000"/>
          <w:highlight w:val="none"/>
        </w:rPr>
        <w:t>……</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投标文件的上述组成部分如存在内容不一致的，以投标函为准。</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3．我方承诺除</w:t>
      </w:r>
      <w:r>
        <w:rPr>
          <w:rFonts w:ascii="Times New Roman" w:hAnsi="Times New Roman"/>
          <w:color w:val="000000"/>
          <w:sz w:val="22"/>
          <w:highlight w:val="none"/>
        </w:rPr>
        <w:t>商务和技术</w:t>
      </w:r>
      <w:r>
        <w:rPr>
          <w:rFonts w:ascii="Times New Roman" w:hAnsi="Times New Roman"/>
          <w:szCs w:val="21"/>
          <w:highlight w:val="none"/>
        </w:rPr>
        <w:t>偏差表列出的偏差外，我方响应招标文件的全部要求。</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4．我方承诺在招标文件规定的投标有效期内不撤销投标文件。</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5．如我方中标，我方承诺：</w:t>
      </w:r>
    </w:p>
    <w:p>
      <w:pPr>
        <w:spacing w:line="400" w:lineRule="exact"/>
        <w:ind w:firstLine="405"/>
        <w:rPr>
          <w:rFonts w:ascii="Times New Roman" w:hAnsi="Times New Roman"/>
          <w:highlight w:val="none"/>
        </w:rPr>
      </w:pPr>
      <w:r>
        <w:rPr>
          <w:rFonts w:hint="eastAsia" w:ascii="Times New Roman" w:hAnsi="Times New Roman"/>
          <w:highlight w:val="none"/>
        </w:rPr>
        <w:t>（</w:t>
      </w:r>
      <w:r>
        <w:rPr>
          <w:rFonts w:ascii="Times New Roman" w:hAnsi="Times New Roman"/>
          <w:highlight w:val="none"/>
        </w:rPr>
        <w:t>1</w:t>
      </w:r>
      <w:r>
        <w:rPr>
          <w:rFonts w:hint="eastAsia" w:ascii="Times New Roman" w:hAnsi="Times New Roman"/>
          <w:highlight w:val="none"/>
        </w:rPr>
        <w:t>）在收到中标通知书后，在中标通知书规定的期限内与你方签订合同；</w:t>
      </w:r>
    </w:p>
    <w:p>
      <w:pPr>
        <w:spacing w:line="400" w:lineRule="exact"/>
        <w:ind w:firstLine="405"/>
        <w:rPr>
          <w:rFonts w:ascii="Times New Roman" w:hAnsi="Times New Roman"/>
          <w:highlight w:val="none"/>
        </w:rPr>
      </w:pPr>
      <w:r>
        <w:rPr>
          <w:rFonts w:hint="eastAsia" w:ascii="Times New Roman" w:hAnsi="Times New Roman"/>
          <w:highlight w:val="none"/>
        </w:rPr>
        <w:t>（</w:t>
      </w:r>
      <w:r>
        <w:rPr>
          <w:rFonts w:ascii="Times New Roman" w:hAnsi="Times New Roman"/>
          <w:highlight w:val="none"/>
        </w:rPr>
        <w:t>2</w:t>
      </w:r>
      <w:r>
        <w:rPr>
          <w:rFonts w:hint="eastAsia" w:ascii="Times New Roman" w:hAnsi="Times New Roman"/>
          <w:highlight w:val="none"/>
        </w:rPr>
        <w:t>）在签订合同时不向你方提出附加条件；</w:t>
      </w:r>
    </w:p>
    <w:p>
      <w:pPr>
        <w:spacing w:line="400" w:lineRule="exact"/>
        <w:ind w:firstLine="405"/>
        <w:rPr>
          <w:rFonts w:ascii="Times New Roman" w:hAnsi="Times New Roman"/>
          <w:highlight w:val="none"/>
        </w:rPr>
      </w:pPr>
      <w:r>
        <w:rPr>
          <w:rFonts w:hint="eastAsia" w:ascii="Times New Roman" w:hAnsi="Times New Roman"/>
          <w:highlight w:val="none"/>
        </w:rPr>
        <w:t>（</w:t>
      </w:r>
      <w:r>
        <w:rPr>
          <w:rFonts w:ascii="Times New Roman" w:hAnsi="Times New Roman"/>
          <w:highlight w:val="none"/>
        </w:rPr>
        <w:t>3</w:t>
      </w:r>
      <w:r>
        <w:rPr>
          <w:rFonts w:hint="eastAsia" w:ascii="Times New Roman" w:hAnsi="Times New Roman"/>
          <w:highlight w:val="none"/>
        </w:rPr>
        <w:t>）按照招标文件要求提交履约保证金；</w:t>
      </w:r>
      <w:bookmarkStart w:id="803" w:name="_Toc352691658"/>
      <w:bookmarkStart w:id="804" w:name="_Toc369531694"/>
      <w:bookmarkStart w:id="805" w:name="_Toc1187"/>
    </w:p>
    <w:p>
      <w:pPr>
        <w:spacing w:line="400" w:lineRule="exact"/>
        <w:ind w:firstLine="405"/>
        <w:rPr>
          <w:rFonts w:ascii="Times New Roman" w:hAnsi="Times New Roman"/>
          <w:highlight w:val="none"/>
        </w:rPr>
      </w:pPr>
      <w:r>
        <w:rPr>
          <w:rFonts w:hint="eastAsia" w:ascii="Times New Roman" w:hAnsi="Times New Roman"/>
          <w:highlight w:val="none"/>
        </w:rPr>
        <w:t>（</w:t>
      </w:r>
      <w:r>
        <w:rPr>
          <w:rFonts w:ascii="Times New Roman" w:hAnsi="Times New Roman"/>
          <w:highlight w:val="none"/>
        </w:rPr>
        <w:t>4</w:t>
      </w:r>
      <w:bookmarkEnd w:id="803"/>
      <w:bookmarkEnd w:id="804"/>
      <w:bookmarkEnd w:id="805"/>
      <w:r>
        <w:rPr>
          <w:rFonts w:hint="eastAsia" w:ascii="Times New Roman" w:hAnsi="Times New Roman"/>
          <w:highlight w:val="none"/>
        </w:rPr>
        <w:t>）在合同约定的期限内完成合同规定的全部义务。</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6．</w:t>
      </w:r>
      <w:r>
        <w:rPr>
          <w:rFonts w:ascii="Times New Roman" w:hAnsi="Times New Roman"/>
          <w:highlight w:val="none"/>
        </w:rPr>
        <w:t>我方在此声明，所递交的投标文件及有关资料内容完整、真实和准确，且不存在第二章“投标人须知”第1.4.3项规定的任何一种情形。</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7．</w:t>
      </w:r>
      <w:r>
        <w:rPr>
          <w:rFonts w:ascii="Times New Roman" w:hAnsi="Times New Roman"/>
          <w:szCs w:val="21"/>
          <w:highlight w:val="none"/>
          <w:u w:val="single"/>
        </w:rPr>
        <w:t xml:space="preserve">                            </w:t>
      </w:r>
      <w:r>
        <w:rPr>
          <w:rFonts w:ascii="Times New Roman" w:hAnsi="Times New Roman"/>
          <w:szCs w:val="21"/>
          <w:highlight w:val="none"/>
          <w:u w:val="single"/>
        </w:rPr>
        <w:tab/>
      </w:r>
      <w:r>
        <w:rPr>
          <w:rFonts w:ascii="Times New Roman" w:hAnsi="Times New Roman"/>
          <w:szCs w:val="21"/>
          <w:highlight w:val="none"/>
        </w:rPr>
        <w:t>（其他补充说明）。</w:t>
      </w:r>
    </w:p>
    <w:p>
      <w:pPr>
        <w:spacing w:line="440" w:lineRule="exact"/>
        <w:ind w:firstLine="420" w:firstLineChars="200"/>
        <w:rPr>
          <w:rFonts w:ascii="Times New Roman" w:hAnsi="Times New Roman"/>
          <w:szCs w:val="21"/>
          <w:highlight w:val="none"/>
        </w:rPr>
      </w:pPr>
    </w:p>
    <w:bookmarkEnd w:id="774"/>
    <w:bookmarkEnd w:id="775"/>
    <w:bookmarkEnd w:id="776"/>
    <w:bookmarkEnd w:id="777"/>
    <w:bookmarkEnd w:id="778"/>
    <w:bookmarkEnd w:id="779"/>
    <w:bookmarkEnd w:id="780"/>
    <w:bookmarkEnd w:id="781"/>
    <w:bookmarkEnd w:id="782"/>
    <w:p>
      <w:pPr>
        <w:spacing w:line="440" w:lineRule="exact"/>
        <w:ind w:firstLine="2520" w:firstLineChars="1200"/>
        <w:jc w:val="left"/>
        <w:rPr>
          <w:rFonts w:ascii="Times New Roman" w:hAnsi="Times New Roman"/>
          <w:szCs w:val="21"/>
          <w:highlight w:val="none"/>
        </w:rPr>
      </w:pPr>
      <w:bookmarkStart w:id="806" w:name="_Toc369531696"/>
      <w:bookmarkEnd w:id="806"/>
      <w:bookmarkStart w:id="807" w:name="_Toc16568"/>
      <w:bookmarkEnd w:id="807"/>
      <w:bookmarkStart w:id="808" w:name="_Toc16824"/>
      <w:bookmarkEnd w:id="808"/>
      <w:bookmarkStart w:id="809" w:name="_Toc352691660"/>
      <w:bookmarkEnd w:id="809"/>
      <w:bookmarkStart w:id="810" w:name="_Toc369531695"/>
      <w:bookmarkEnd w:id="810"/>
      <w:bookmarkStart w:id="811" w:name="_Toc352691659"/>
      <w:bookmarkEnd w:id="811"/>
      <w:r>
        <w:rPr>
          <w:rFonts w:ascii="Times New Roman" w:hAnsi="Times New Roman"/>
          <w:szCs w:val="21"/>
          <w:highlight w:val="none"/>
        </w:rPr>
        <w:t>投 标 人：</w:t>
      </w:r>
      <w:r>
        <w:rPr>
          <w:rFonts w:ascii="Times New Roman" w:hAnsi="Times New Roman"/>
          <w:szCs w:val="21"/>
          <w:highlight w:val="none"/>
          <w:u w:val="single"/>
        </w:rPr>
        <w:t xml:space="preserve">                                </w:t>
      </w:r>
      <w:r>
        <w:rPr>
          <w:rFonts w:ascii="Times New Roman" w:hAnsi="Times New Roman"/>
          <w:szCs w:val="21"/>
          <w:highlight w:val="none"/>
          <w:u w:val="single"/>
        </w:rPr>
        <w:tab/>
      </w:r>
      <w:r>
        <w:rPr>
          <w:rFonts w:ascii="Times New Roman" w:hAnsi="Times New Roman"/>
          <w:szCs w:val="21"/>
          <w:highlight w:val="none"/>
        </w:rPr>
        <w:t>（盖单位章）</w:t>
      </w:r>
    </w:p>
    <w:p>
      <w:pPr>
        <w:spacing w:line="440" w:lineRule="exact"/>
        <w:jc w:val="left"/>
        <w:rPr>
          <w:rFonts w:ascii="Times New Roman" w:hAnsi="Times New Roman"/>
          <w:szCs w:val="21"/>
          <w:highlight w:val="none"/>
        </w:rPr>
      </w:pPr>
      <w:r>
        <w:rPr>
          <w:rFonts w:ascii="Times New Roman" w:hAnsi="Times New Roman"/>
          <w:color w:val="000000"/>
          <w:highlight w:val="none"/>
        </w:rPr>
        <w:t xml:space="preserve">                        法定代表人（单位负责人）</w:t>
      </w:r>
      <w:r>
        <w:rPr>
          <w:rFonts w:ascii="Times New Roman" w:hAnsi="Times New Roman"/>
          <w:szCs w:val="21"/>
          <w:highlight w:val="none"/>
        </w:rPr>
        <w:t>或其委托代理人：</w:t>
      </w:r>
      <w:r>
        <w:rPr>
          <w:rFonts w:ascii="Times New Roman" w:hAnsi="Times New Roman"/>
          <w:szCs w:val="21"/>
          <w:highlight w:val="none"/>
          <w:u w:val="single"/>
        </w:rPr>
        <w:t xml:space="preserve">       </w:t>
      </w:r>
      <w:r>
        <w:rPr>
          <w:rFonts w:ascii="Times New Roman" w:hAnsi="Times New Roman"/>
          <w:szCs w:val="21"/>
          <w:highlight w:val="none"/>
          <w:u w:val="single"/>
        </w:rPr>
        <w:tab/>
      </w:r>
      <w:r>
        <w:rPr>
          <w:rFonts w:ascii="Times New Roman" w:hAnsi="Times New Roman"/>
          <w:szCs w:val="21"/>
          <w:highlight w:val="none"/>
        </w:rPr>
        <w:t>（签字）</w:t>
      </w:r>
    </w:p>
    <w:p>
      <w:pPr>
        <w:spacing w:line="440" w:lineRule="exact"/>
        <w:ind w:firstLine="2520" w:firstLineChars="1200"/>
        <w:jc w:val="left"/>
        <w:rPr>
          <w:rFonts w:ascii="Times New Roman" w:hAnsi="Times New Roman"/>
          <w:szCs w:val="21"/>
          <w:highlight w:val="none"/>
        </w:rPr>
      </w:pPr>
      <w:r>
        <w:rPr>
          <w:rFonts w:ascii="Times New Roman" w:hAnsi="Times New Roman"/>
          <w:szCs w:val="21"/>
          <w:highlight w:val="none"/>
        </w:rPr>
        <w:t>地    址：</w:t>
      </w:r>
      <w:r>
        <w:rPr>
          <w:rFonts w:ascii="Times New Roman" w:hAnsi="Times New Roman"/>
          <w:szCs w:val="21"/>
          <w:highlight w:val="none"/>
          <w:u w:val="single"/>
        </w:rPr>
        <w:t xml:space="preserve">                                  </w:t>
      </w:r>
      <w:r>
        <w:rPr>
          <w:rFonts w:ascii="Times New Roman" w:hAnsi="Times New Roman"/>
          <w:szCs w:val="21"/>
          <w:highlight w:val="none"/>
          <w:u w:val="single"/>
        </w:rPr>
        <w:tab/>
      </w:r>
    </w:p>
    <w:p>
      <w:pPr>
        <w:spacing w:line="440" w:lineRule="exact"/>
        <w:ind w:firstLine="2520" w:firstLineChars="1200"/>
        <w:jc w:val="left"/>
        <w:rPr>
          <w:rFonts w:ascii="Times New Roman" w:hAnsi="Times New Roman"/>
          <w:szCs w:val="21"/>
          <w:highlight w:val="none"/>
        </w:rPr>
      </w:pPr>
      <w:r>
        <w:rPr>
          <w:rFonts w:ascii="Times New Roman" w:hAnsi="Times New Roman"/>
          <w:szCs w:val="21"/>
          <w:highlight w:val="none"/>
        </w:rPr>
        <w:t>网    址：</w:t>
      </w:r>
      <w:r>
        <w:rPr>
          <w:rFonts w:ascii="Times New Roman" w:hAnsi="Times New Roman"/>
          <w:szCs w:val="21"/>
          <w:highlight w:val="none"/>
          <w:u w:val="single"/>
        </w:rPr>
        <w:t xml:space="preserve">                                       </w:t>
      </w:r>
      <w:r>
        <w:rPr>
          <w:rFonts w:ascii="Times New Roman" w:hAnsi="Times New Roman"/>
          <w:szCs w:val="21"/>
          <w:highlight w:val="none"/>
          <w:u w:val="single"/>
        </w:rPr>
        <w:tab/>
      </w:r>
      <w:r>
        <w:rPr>
          <w:rFonts w:ascii="Times New Roman" w:hAnsi="Times New Roman"/>
          <w:szCs w:val="21"/>
          <w:highlight w:val="none"/>
          <w:u w:val="single"/>
        </w:rPr>
        <w:t xml:space="preserve">    </w:t>
      </w:r>
    </w:p>
    <w:p>
      <w:pPr>
        <w:spacing w:line="440" w:lineRule="exact"/>
        <w:ind w:firstLine="2520" w:firstLineChars="1200"/>
        <w:jc w:val="left"/>
        <w:rPr>
          <w:rFonts w:ascii="Times New Roman" w:hAnsi="Times New Roman"/>
          <w:szCs w:val="21"/>
          <w:highlight w:val="none"/>
        </w:rPr>
      </w:pPr>
      <w:r>
        <w:rPr>
          <w:rFonts w:ascii="Times New Roman" w:hAnsi="Times New Roman"/>
          <w:szCs w:val="21"/>
          <w:highlight w:val="none"/>
        </w:rPr>
        <w:t>电    话：</w:t>
      </w:r>
      <w:r>
        <w:rPr>
          <w:rFonts w:ascii="Times New Roman" w:hAnsi="Times New Roman"/>
          <w:szCs w:val="21"/>
          <w:highlight w:val="none"/>
          <w:u w:val="single"/>
        </w:rPr>
        <w:t xml:space="preserve">          </w:t>
      </w:r>
      <w:r>
        <w:rPr>
          <w:rFonts w:ascii="Times New Roman" w:hAnsi="Times New Roman"/>
          <w:szCs w:val="21"/>
          <w:highlight w:val="none"/>
          <w:u w:val="single"/>
        </w:rPr>
        <w:tab/>
      </w:r>
      <w:r>
        <w:rPr>
          <w:rFonts w:ascii="Times New Roman" w:hAnsi="Times New Roman"/>
          <w:szCs w:val="21"/>
          <w:highlight w:val="none"/>
          <w:u w:val="single"/>
        </w:rPr>
        <w:t xml:space="preserve">                          </w:t>
      </w:r>
      <w:r>
        <w:rPr>
          <w:rFonts w:ascii="Times New Roman" w:hAnsi="Times New Roman"/>
          <w:szCs w:val="21"/>
          <w:highlight w:val="none"/>
          <w:u w:val="single"/>
        </w:rPr>
        <w:tab/>
      </w:r>
      <w:r>
        <w:rPr>
          <w:rFonts w:ascii="Times New Roman" w:hAnsi="Times New Roman"/>
          <w:szCs w:val="21"/>
          <w:highlight w:val="none"/>
          <w:u w:val="single"/>
        </w:rPr>
        <w:t xml:space="preserve">    </w:t>
      </w:r>
    </w:p>
    <w:p>
      <w:pPr>
        <w:spacing w:line="440" w:lineRule="exact"/>
        <w:ind w:firstLine="2520" w:firstLineChars="1200"/>
        <w:jc w:val="left"/>
        <w:rPr>
          <w:rFonts w:ascii="Times New Roman" w:hAnsi="Times New Roman"/>
          <w:szCs w:val="21"/>
          <w:highlight w:val="none"/>
        </w:rPr>
      </w:pPr>
      <w:r>
        <w:rPr>
          <w:rFonts w:ascii="Times New Roman" w:hAnsi="Times New Roman"/>
          <w:szCs w:val="21"/>
          <w:highlight w:val="none"/>
        </w:rPr>
        <w:t>传    真：</w:t>
      </w:r>
      <w:r>
        <w:rPr>
          <w:rFonts w:ascii="Times New Roman" w:hAnsi="Times New Roman"/>
          <w:szCs w:val="21"/>
          <w:highlight w:val="none"/>
          <w:u w:val="single"/>
        </w:rPr>
        <w:t xml:space="preserve">          </w:t>
      </w:r>
      <w:r>
        <w:rPr>
          <w:rFonts w:ascii="Times New Roman" w:hAnsi="Times New Roman"/>
          <w:szCs w:val="21"/>
          <w:highlight w:val="none"/>
          <w:u w:val="single"/>
        </w:rPr>
        <w:tab/>
      </w:r>
      <w:r>
        <w:rPr>
          <w:rFonts w:ascii="Times New Roman" w:hAnsi="Times New Roman"/>
          <w:szCs w:val="21"/>
          <w:highlight w:val="none"/>
          <w:u w:val="single"/>
        </w:rPr>
        <w:t xml:space="preserve">                                </w:t>
      </w:r>
    </w:p>
    <w:p>
      <w:pPr>
        <w:spacing w:line="440" w:lineRule="exact"/>
        <w:ind w:firstLine="2520" w:firstLineChars="1200"/>
        <w:jc w:val="left"/>
        <w:rPr>
          <w:rFonts w:ascii="Times New Roman" w:hAnsi="Times New Roman"/>
          <w:szCs w:val="21"/>
          <w:highlight w:val="none"/>
        </w:rPr>
      </w:pPr>
      <w:r>
        <w:rPr>
          <w:rFonts w:ascii="Times New Roman" w:hAnsi="Times New Roman"/>
          <w:szCs w:val="21"/>
          <w:highlight w:val="none"/>
        </w:rPr>
        <w:t>邮政编码：</w:t>
      </w:r>
      <w:r>
        <w:rPr>
          <w:rFonts w:ascii="Times New Roman" w:hAnsi="Times New Roman"/>
          <w:szCs w:val="21"/>
          <w:highlight w:val="none"/>
          <w:u w:val="single"/>
        </w:rPr>
        <w:t xml:space="preserve">          </w:t>
      </w:r>
      <w:r>
        <w:rPr>
          <w:rFonts w:ascii="Times New Roman" w:hAnsi="Times New Roman"/>
          <w:szCs w:val="21"/>
          <w:highlight w:val="none"/>
          <w:u w:val="single"/>
        </w:rPr>
        <w:tab/>
      </w:r>
      <w:r>
        <w:rPr>
          <w:rFonts w:ascii="Times New Roman" w:hAnsi="Times New Roman"/>
          <w:szCs w:val="21"/>
          <w:highlight w:val="none"/>
          <w:u w:val="single"/>
        </w:rPr>
        <w:t xml:space="preserve">                                </w:t>
      </w:r>
    </w:p>
    <w:p>
      <w:pPr>
        <w:spacing w:line="440" w:lineRule="exact"/>
        <w:ind w:firstLine="4725" w:firstLineChars="2250"/>
        <w:jc w:val="right"/>
        <w:rPr>
          <w:rFonts w:ascii="Times New Roman" w:hAnsi="Times New Roman"/>
          <w:szCs w:val="21"/>
          <w:highlight w:val="none"/>
        </w:rPr>
      </w:pPr>
      <w:r>
        <w:rPr>
          <w:rFonts w:ascii="Times New Roman" w:hAnsi="Times New Roman"/>
          <w:color w:val="000000"/>
          <w:highlight w:val="none"/>
          <w:u w:val="single"/>
        </w:rPr>
        <w:t xml:space="preserve">      </w:t>
      </w:r>
      <w:r>
        <w:rPr>
          <w:rFonts w:ascii="Times New Roman" w:hAnsi="Times New Roman"/>
          <w:szCs w:val="21"/>
          <w:highlight w:val="none"/>
        </w:rPr>
        <w:t>年</w:t>
      </w:r>
      <w:r>
        <w:rPr>
          <w:rFonts w:ascii="Times New Roman" w:hAnsi="Times New Roman"/>
          <w:color w:val="000000"/>
          <w:highlight w:val="none"/>
          <w:u w:val="single"/>
        </w:rPr>
        <w:t xml:space="preserve">      </w:t>
      </w:r>
      <w:r>
        <w:rPr>
          <w:rFonts w:ascii="Times New Roman" w:hAnsi="Times New Roman"/>
          <w:szCs w:val="21"/>
          <w:highlight w:val="none"/>
        </w:rPr>
        <w:t>月</w:t>
      </w:r>
      <w:r>
        <w:rPr>
          <w:rFonts w:ascii="Times New Roman" w:hAnsi="Times New Roman"/>
          <w:color w:val="000000"/>
          <w:highlight w:val="none"/>
          <w:u w:val="single"/>
        </w:rPr>
        <w:t xml:space="preserve">      </w:t>
      </w:r>
      <w:r>
        <w:rPr>
          <w:rFonts w:ascii="Times New Roman" w:hAnsi="Times New Roman"/>
          <w:szCs w:val="21"/>
          <w:highlight w:val="none"/>
        </w:rPr>
        <w:t>日</w:t>
      </w:r>
    </w:p>
    <w:p>
      <w:pPr>
        <w:spacing w:line="440" w:lineRule="exact"/>
        <w:rPr>
          <w:rFonts w:ascii="Times New Roman" w:hAnsi="Times New Roman"/>
          <w:szCs w:val="21"/>
          <w:highlight w:val="none"/>
        </w:rPr>
      </w:pPr>
    </w:p>
    <w:p>
      <w:pPr>
        <w:spacing w:line="440" w:lineRule="exact"/>
        <w:rPr>
          <w:rFonts w:ascii="Times New Roman" w:hAnsi="Times New Roman"/>
          <w:szCs w:val="21"/>
          <w:highlight w:val="none"/>
        </w:rPr>
      </w:pPr>
    </w:p>
    <w:p>
      <w:pPr>
        <w:spacing w:line="440" w:lineRule="exact"/>
        <w:rPr>
          <w:rFonts w:ascii="Times New Roman" w:hAnsi="Times New Roman" w:eastAsia="黑体"/>
          <w:color w:val="000000"/>
          <w:sz w:val="20"/>
          <w:highlight w:val="none"/>
        </w:rPr>
      </w:pPr>
      <w:bookmarkStart w:id="812" w:name="_Toc152042576"/>
      <w:bookmarkStart w:id="813" w:name="_Toc152045787"/>
      <w:bookmarkStart w:id="814" w:name="_Toc361508752"/>
      <w:bookmarkStart w:id="815" w:name="_Toc17960"/>
      <w:bookmarkStart w:id="816" w:name="_Toc384308375"/>
      <w:bookmarkStart w:id="817" w:name="_Toc300835209"/>
      <w:bookmarkStart w:id="818" w:name="_Toc247527827"/>
      <w:bookmarkStart w:id="819" w:name="_Toc247514246"/>
      <w:bookmarkStart w:id="820" w:name="_Toc369531697"/>
      <w:bookmarkStart w:id="821" w:name="_Toc144974856"/>
      <w:bookmarkStart w:id="822" w:name="_Toc352691661"/>
    </w:p>
    <w:p>
      <w:pPr>
        <w:spacing w:line="440" w:lineRule="exact"/>
        <w:rPr>
          <w:rFonts w:ascii="Times New Roman" w:hAnsi="Times New Roman" w:eastAsia="黑体"/>
          <w:sz w:val="20"/>
          <w:highlight w:val="none"/>
        </w:rPr>
      </w:pPr>
      <w:r>
        <w:rPr>
          <w:rFonts w:ascii="Times New Roman" w:hAnsi="Times New Roman"/>
          <w:szCs w:val="21"/>
          <w:highlight w:val="none"/>
        </w:rPr>
        <w:br w:type="page"/>
      </w:r>
    </w:p>
    <w:p>
      <w:pPr>
        <w:pStyle w:val="3"/>
        <w:jc w:val="center"/>
        <w:rPr>
          <w:rFonts w:ascii="Times New Roman" w:hAnsi="Times New Roman"/>
          <w:color w:val="000000"/>
          <w:highlight w:val="none"/>
        </w:rPr>
      </w:pPr>
      <w:bookmarkStart w:id="823" w:name="_Toc824287765"/>
      <w:r>
        <w:rPr>
          <w:rFonts w:ascii="Times New Roman" w:hAnsi="Times New Roman"/>
          <w:color w:val="000000"/>
          <w:highlight w:val="none"/>
        </w:rPr>
        <w:t>二</w:t>
      </w:r>
      <w:bookmarkEnd w:id="812"/>
      <w:bookmarkEnd w:id="813"/>
      <w:bookmarkEnd w:id="814"/>
      <w:bookmarkEnd w:id="815"/>
      <w:bookmarkEnd w:id="816"/>
      <w:bookmarkEnd w:id="817"/>
      <w:bookmarkEnd w:id="818"/>
      <w:bookmarkEnd w:id="819"/>
      <w:bookmarkEnd w:id="820"/>
      <w:bookmarkEnd w:id="821"/>
      <w:bookmarkEnd w:id="822"/>
      <w:r>
        <w:rPr>
          <w:rFonts w:ascii="Times New Roman" w:hAnsi="Times New Roman"/>
          <w:color w:val="000000"/>
          <w:highlight w:val="none"/>
        </w:rPr>
        <w:t>、法定代表人（单位负责人）身份证明</w:t>
      </w:r>
      <w:bookmarkEnd w:id="823"/>
    </w:p>
    <w:p>
      <w:pPr>
        <w:spacing w:line="440" w:lineRule="exact"/>
        <w:rPr>
          <w:rFonts w:ascii="Times New Roman" w:hAnsi="Times New Roman"/>
          <w:color w:val="000000"/>
          <w:sz w:val="20"/>
          <w:highlight w:val="none"/>
        </w:rPr>
      </w:pPr>
    </w:p>
    <w:p>
      <w:pPr>
        <w:spacing w:line="440" w:lineRule="exact"/>
        <w:rPr>
          <w:rFonts w:ascii="Times New Roman" w:hAnsi="Times New Roman"/>
          <w:color w:val="000000"/>
          <w:highlight w:val="none"/>
        </w:rPr>
      </w:pPr>
    </w:p>
    <w:p>
      <w:pPr>
        <w:spacing w:line="440" w:lineRule="exact"/>
        <w:rPr>
          <w:rFonts w:ascii="Times New Roman" w:hAnsi="Times New Roman"/>
          <w:color w:val="000000"/>
          <w:highlight w:val="none"/>
        </w:rPr>
      </w:pPr>
      <w:r>
        <w:rPr>
          <w:rFonts w:ascii="Times New Roman" w:hAnsi="Times New Roman"/>
          <w:color w:val="000000"/>
          <w:highlight w:val="none"/>
        </w:rPr>
        <w:t>投标人名称：</w:t>
      </w:r>
      <w:r>
        <w:rPr>
          <w:rFonts w:ascii="Times New Roman" w:hAnsi="Times New Roman"/>
          <w:highlight w:val="none"/>
          <w:u w:val="single"/>
        </w:rPr>
        <w:t xml:space="preserve">                        </w:t>
      </w:r>
    </w:p>
    <w:p>
      <w:pPr>
        <w:spacing w:line="440" w:lineRule="exact"/>
        <w:rPr>
          <w:rFonts w:ascii="Times New Roman" w:hAnsi="Times New Roman"/>
          <w:color w:val="000000"/>
          <w:highlight w:val="none"/>
        </w:rPr>
      </w:pPr>
      <w:r>
        <w:rPr>
          <w:rFonts w:ascii="Times New Roman" w:hAnsi="Times New Roman"/>
          <w:color w:val="000000"/>
          <w:highlight w:val="none"/>
        </w:rPr>
        <w:t>姓名：</w:t>
      </w:r>
      <w:r>
        <w:rPr>
          <w:rFonts w:ascii="Times New Roman" w:hAnsi="Times New Roman"/>
          <w:highlight w:val="none"/>
          <w:u w:val="single"/>
        </w:rPr>
        <w:t xml:space="preserve">                </w:t>
      </w:r>
      <w:r>
        <w:rPr>
          <w:rFonts w:ascii="Times New Roman" w:hAnsi="Times New Roman"/>
          <w:color w:val="000000"/>
          <w:highlight w:val="none"/>
        </w:rPr>
        <w:t>性别：</w:t>
      </w:r>
      <w:bookmarkStart w:id="824" w:name="_Toc352691662"/>
      <w:bookmarkStart w:id="825" w:name="_Toc27897"/>
      <w:bookmarkStart w:id="826" w:name="_Toc369531698"/>
      <w:r>
        <w:rPr>
          <w:rFonts w:ascii="Times New Roman" w:hAnsi="Times New Roman"/>
          <w:highlight w:val="none"/>
          <w:u w:val="single"/>
        </w:rPr>
        <w:t xml:space="preserve">        </w:t>
      </w:r>
      <w:r>
        <w:rPr>
          <w:rFonts w:ascii="Times New Roman" w:hAnsi="Times New Roman"/>
          <w:color w:val="000000"/>
          <w:highlight w:val="none"/>
        </w:rPr>
        <w:t>年</w:t>
      </w:r>
      <w:bookmarkEnd w:id="824"/>
      <w:bookmarkEnd w:id="825"/>
      <w:bookmarkEnd w:id="826"/>
      <w:r>
        <w:rPr>
          <w:rFonts w:ascii="Times New Roman" w:hAnsi="Times New Roman"/>
          <w:color w:val="000000"/>
          <w:highlight w:val="none"/>
        </w:rPr>
        <w:t>龄</w:t>
      </w:r>
      <w:bookmarkStart w:id="827" w:name="_Toc300835211"/>
      <w:bookmarkStart w:id="828" w:name="_Toc144974858"/>
      <w:bookmarkStart w:id="829" w:name="_Toc152045789"/>
      <w:bookmarkStart w:id="830" w:name="_Toc361508754"/>
      <w:bookmarkStart w:id="831" w:name="_Toc247527829"/>
      <w:bookmarkStart w:id="832" w:name="_Toc152042578"/>
      <w:bookmarkStart w:id="833" w:name="_Toc15573"/>
      <w:bookmarkStart w:id="834" w:name="_Toc369531699"/>
      <w:bookmarkStart w:id="835" w:name="_Toc352691663"/>
      <w:bookmarkStart w:id="836" w:name="_Toc247514248"/>
      <w:bookmarkStart w:id="837" w:name="_Toc384308377"/>
      <w:r>
        <w:rPr>
          <w:rFonts w:ascii="Times New Roman" w:hAnsi="Times New Roman"/>
          <w:color w:val="000000"/>
          <w:highlight w:val="none"/>
        </w:rPr>
        <w:t>：</w:t>
      </w:r>
      <w:bookmarkEnd w:id="827"/>
      <w:bookmarkEnd w:id="828"/>
      <w:bookmarkEnd w:id="829"/>
      <w:bookmarkEnd w:id="830"/>
      <w:bookmarkEnd w:id="831"/>
      <w:bookmarkEnd w:id="832"/>
      <w:bookmarkEnd w:id="833"/>
      <w:bookmarkEnd w:id="834"/>
      <w:bookmarkEnd w:id="835"/>
      <w:bookmarkEnd w:id="836"/>
      <w:bookmarkEnd w:id="837"/>
      <w:r>
        <w:rPr>
          <w:rFonts w:ascii="Times New Roman" w:hAnsi="Times New Roman"/>
          <w:highlight w:val="none"/>
          <w:u w:val="single"/>
        </w:rPr>
        <w:t xml:space="preserve">        </w:t>
      </w:r>
      <w:r>
        <w:rPr>
          <w:rFonts w:ascii="Times New Roman" w:hAnsi="Times New Roman"/>
          <w:color w:val="000000"/>
          <w:highlight w:val="none"/>
        </w:rPr>
        <w:t>职务：</w:t>
      </w:r>
      <w:r>
        <w:rPr>
          <w:rFonts w:ascii="Times New Roman" w:hAnsi="Times New Roman"/>
          <w:highlight w:val="none"/>
          <w:u w:val="single"/>
        </w:rPr>
        <w:t xml:space="preserve">        </w:t>
      </w:r>
    </w:p>
    <w:p>
      <w:pPr>
        <w:spacing w:line="440" w:lineRule="exact"/>
        <w:rPr>
          <w:rFonts w:ascii="Times New Roman" w:hAnsi="Times New Roman"/>
          <w:color w:val="000000"/>
          <w:highlight w:val="none"/>
        </w:rPr>
      </w:pPr>
      <w:r>
        <w:rPr>
          <w:rFonts w:ascii="Times New Roman" w:hAnsi="Times New Roman"/>
          <w:color w:val="000000"/>
          <w:highlight w:val="none"/>
        </w:rPr>
        <w:t>系</w:t>
      </w:r>
      <w:r>
        <w:rPr>
          <w:rFonts w:ascii="Times New Roman" w:hAnsi="Times New Roman"/>
          <w:highlight w:val="none"/>
          <w:u w:val="single"/>
        </w:rPr>
        <w:t xml:space="preserve">                        </w:t>
      </w:r>
      <w:r>
        <w:rPr>
          <w:rFonts w:ascii="Times New Roman" w:hAnsi="Times New Roman"/>
          <w:color w:val="000000"/>
          <w:highlight w:val="none"/>
        </w:rPr>
        <w:t>（投标人名称）的法定代表人（单位负责人）。</w:t>
      </w:r>
    </w:p>
    <w:p>
      <w:pPr>
        <w:spacing w:line="440" w:lineRule="exact"/>
        <w:ind w:firstLine="420" w:firstLineChars="200"/>
        <w:rPr>
          <w:rFonts w:ascii="Times New Roman" w:hAnsi="Times New Roman"/>
          <w:color w:val="000000"/>
          <w:highlight w:val="none"/>
        </w:rPr>
      </w:pPr>
      <w:r>
        <w:rPr>
          <w:rFonts w:ascii="Times New Roman" w:hAnsi="Times New Roman"/>
          <w:color w:val="000000"/>
          <w:highlight w:val="none"/>
        </w:rPr>
        <w:t>特此证明。</w:t>
      </w:r>
    </w:p>
    <w:p>
      <w:pPr>
        <w:spacing w:line="440" w:lineRule="exact"/>
        <w:rPr>
          <w:rFonts w:ascii="Times New Roman" w:hAnsi="Times New Roman"/>
          <w:color w:val="000000"/>
          <w:highlight w:val="none"/>
        </w:rPr>
      </w:pPr>
    </w:p>
    <w:p>
      <w:pPr>
        <w:spacing w:line="440" w:lineRule="exact"/>
        <w:rPr>
          <w:rFonts w:ascii="Times New Roman" w:hAnsi="Times New Roman"/>
          <w:color w:val="000000"/>
          <w:highlight w:val="none"/>
        </w:rPr>
      </w:pPr>
      <w:r>
        <w:rPr>
          <w:rFonts w:ascii="Times New Roman" w:hAnsi="Times New Roman"/>
          <w:color w:val="000000"/>
          <w:highlight w:val="none"/>
        </w:rPr>
        <w:t>附：法定代表人（单位负责人）身份证</w:t>
      </w:r>
      <w:r>
        <w:rPr>
          <w:rFonts w:hint="eastAsia" w:ascii="Times New Roman" w:hAnsi="Times New Roman"/>
          <w:color w:val="000000"/>
          <w:highlight w:val="none"/>
          <w:lang w:val="en-US" w:eastAsia="zh-CN"/>
        </w:rPr>
        <w:t>扫描</w:t>
      </w:r>
      <w:r>
        <w:rPr>
          <w:rFonts w:ascii="Times New Roman" w:hAnsi="Times New Roman"/>
          <w:color w:val="000000"/>
          <w:highlight w:val="none"/>
        </w:rPr>
        <w:t>件。</w:t>
      </w:r>
    </w:p>
    <w:p>
      <w:pPr>
        <w:spacing w:line="440" w:lineRule="exact"/>
        <w:rPr>
          <w:rFonts w:ascii="Times New Roman" w:hAnsi="Times New Roman"/>
          <w:color w:val="000000"/>
          <w:highlight w:val="none"/>
        </w:rPr>
      </w:pPr>
    </w:p>
    <w:p>
      <w:pPr>
        <w:spacing w:line="440" w:lineRule="exact"/>
        <w:rPr>
          <w:rFonts w:ascii="Times New Roman" w:hAnsi="Times New Roman"/>
          <w:color w:val="000000"/>
          <w:highlight w:val="none"/>
        </w:rPr>
      </w:pPr>
    </w:p>
    <w:p>
      <w:pPr>
        <w:spacing w:line="440" w:lineRule="exact"/>
        <w:rPr>
          <w:rFonts w:ascii="Times New Roman" w:hAnsi="Times New Roman"/>
          <w:color w:val="000000"/>
          <w:highlight w:val="none"/>
        </w:rPr>
      </w:pPr>
    </w:p>
    <w:p>
      <w:pPr>
        <w:spacing w:line="440" w:lineRule="exact"/>
        <w:jc w:val="center"/>
        <w:rPr>
          <w:rFonts w:ascii="Times New Roman" w:hAnsi="Times New Roman"/>
          <w:color w:val="000000"/>
          <w:highlight w:val="none"/>
        </w:rPr>
      </w:pPr>
      <w:r>
        <w:rPr>
          <w:rFonts w:ascii="Times New Roman" w:hAnsi="Times New Roman"/>
          <w:color w:val="000000"/>
          <w:highlight w:val="none"/>
        </w:rPr>
        <w:t xml:space="preserve">                              投标人：</w:t>
      </w:r>
      <w:r>
        <w:rPr>
          <w:rFonts w:ascii="Times New Roman" w:hAnsi="Times New Roman"/>
          <w:szCs w:val="21"/>
          <w:highlight w:val="none"/>
          <w:u w:val="single"/>
        </w:rPr>
        <w:t xml:space="preserve">          </w:t>
      </w:r>
      <w:r>
        <w:rPr>
          <w:rFonts w:ascii="Times New Roman" w:hAnsi="Times New Roman"/>
          <w:szCs w:val="21"/>
          <w:highlight w:val="none"/>
          <w:u w:val="single"/>
        </w:rPr>
        <w:tab/>
      </w:r>
      <w:r>
        <w:rPr>
          <w:rFonts w:ascii="Times New Roman" w:hAnsi="Times New Roman"/>
          <w:color w:val="000000"/>
          <w:highlight w:val="none"/>
        </w:rPr>
        <w:t>（</w:t>
      </w:r>
      <w:r>
        <w:rPr>
          <w:rFonts w:hint="eastAsia" w:ascii="Times New Roman" w:hAnsi="Times New Roman"/>
          <w:color w:val="000000"/>
          <w:highlight w:val="none"/>
        </w:rPr>
        <w:t>盖</w:t>
      </w:r>
      <w:r>
        <w:rPr>
          <w:rFonts w:ascii="Times New Roman" w:hAnsi="Times New Roman"/>
          <w:color w:val="000000"/>
          <w:highlight w:val="none"/>
        </w:rPr>
        <w:t>单位</w:t>
      </w:r>
      <w:r>
        <w:rPr>
          <w:rFonts w:hint="eastAsia" w:ascii="Times New Roman" w:hAnsi="Times New Roman"/>
          <w:color w:val="000000"/>
          <w:highlight w:val="none"/>
        </w:rPr>
        <w:t>章</w:t>
      </w:r>
      <w:r>
        <w:rPr>
          <w:rFonts w:ascii="Times New Roman" w:hAnsi="Times New Roman"/>
          <w:color w:val="000000"/>
          <w:highlight w:val="none"/>
        </w:rPr>
        <w:t>）</w:t>
      </w:r>
    </w:p>
    <w:p>
      <w:pPr>
        <w:spacing w:line="440" w:lineRule="exact"/>
        <w:rPr>
          <w:rFonts w:ascii="Times New Roman" w:hAnsi="Times New Roman"/>
          <w:color w:val="000000"/>
          <w:highlight w:val="none"/>
        </w:rPr>
      </w:pPr>
    </w:p>
    <w:p>
      <w:pPr>
        <w:spacing w:line="440" w:lineRule="exact"/>
        <w:ind w:firstLine="4620" w:firstLineChars="2200"/>
        <w:rPr>
          <w:rFonts w:ascii="Times New Roman" w:hAnsi="Times New Roman"/>
          <w:color w:val="000000"/>
          <w:highlight w:val="none"/>
        </w:rPr>
      </w:pPr>
      <w:r>
        <w:rPr>
          <w:rFonts w:ascii="Times New Roman" w:hAnsi="Times New Roman"/>
          <w:highlight w:val="none"/>
          <w:u w:val="single"/>
        </w:rPr>
        <w:t xml:space="preserve">      </w:t>
      </w:r>
      <w:r>
        <w:rPr>
          <w:rFonts w:ascii="Times New Roman" w:hAnsi="Times New Roman"/>
          <w:color w:val="000000"/>
          <w:highlight w:val="none"/>
        </w:rPr>
        <w:t>年</w:t>
      </w:r>
      <w:r>
        <w:rPr>
          <w:rFonts w:ascii="Times New Roman" w:hAnsi="Times New Roman"/>
          <w:highlight w:val="none"/>
          <w:u w:val="single"/>
        </w:rPr>
        <w:t xml:space="preserve">      </w:t>
      </w:r>
      <w:r>
        <w:rPr>
          <w:rFonts w:ascii="Times New Roman" w:hAnsi="Times New Roman"/>
          <w:color w:val="000000"/>
          <w:highlight w:val="none"/>
        </w:rPr>
        <w:t>月</w:t>
      </w:r>
      <w:r>
        <w:rPr>
          <w:rFonts w:ascii="Times New Roman" w:hAnsi="Times New Roman"/>
          <w:highlight w:val="none"/>
          <w:u w:val="single"/>
        </w:rPr>
        <w:t xml:space="preserve">      </w:t>
      </w:r>
      <w:r>
        <w:rPr>
          <w:rFonts w:ascii="Times New Roman" w:hAnsi="Times New Roman"/>
          <w:color w:val="000000"/>
          <w:highlight w:val="none"/>
        </w:rPr>
        <w:t>日</w:t>
      </w:r>
    </w:p>
    <w:p>
      <w:pPr>
        <w:spacing w:line="440" w:lineRule="exact"/>
        <w:rPr>
          <w:rFonts w:ascii="Times New Roman" w:hAnsi="Times New Roman" w:eastAsia="黑体"/>
          <w:color w:val="000000"/>
          <w:sz w:val="20"/>
          <w:highlight w:val="none"/>
        </w:rPr>
      </w:pPr>
    </w:p>
    <w:p>
      <w:pPr>
        <w:spacing w:line="440" w:lineRule="exact"/>
        <w:jc w:val="center"/>
        <w:rPr>
          <w:rFonts w:ascii="Times New Roman" w:hAnsi="Times New Roman" w:eastAsia="黑体"/>
          <w:color w:val="000000"/>
          <w:sz w:val="20"/>
          <w:highlight w:val="none"/>
        </w:rPr>
      </w:pPr>
      <w:r>
        <w:rPr>
          <w:rFonts w:ascii="Times New Roman" w:hAnsi="Times New Roman" w:eastAsia="黑体"/>
          <w:color w:val="000000"/>
          <w:sz w:val="20"/>
          <w:highlight w:val="none"/>
        </w:rPr>
        <w:br w:type="page"/>
      </w:r>
    </w:p>
    <w:p>
      <w:pPr>
        <w:pStyle w:val="3"/>
        <w:jc w:val="center"/>
        <w:rPr>
          <w:rFonts w:ascii="Times New Roman" w:hAnsi="Times New Roman"/>
          <w:color w:val="000000"/>
          <w:highlight w:val="none"/>
        </w:rPr>
      </w:pPr>
      <w:bookmarkStart w:id="838" w:name="_Toc1115896014"/>
      <w:r>
        <w:rPr>
          <w:rFonts w:ascii="Times New Roman" w:hAnsi="Times New Roman"/>
          <w:highlight w:val="none"/>
        </w:rPr>
        <w:t>二、授权委托</w:t>
      </w:r>
      <w:r>
        <w:rPr>
          <w:rFonts w:ascii="Times New Roman" w:hAnsi="Times New Roman"/>
          <w:color w:val="000000"/>
          <w:highlight w:val="none"/>
        </w:rPr>
        <w:t>书</w:t>
      </w:r>
      <w:bookmarkEnd w:id="838"/>
    </w:p>
    <w:p>
      <w:pPr>
        <w:spacing w:line="440" w:lineRule="exact"/>
        <w:rPr>
          <w:rFonts w:ascii="Times New Roman" w:hAnsi="Times New Roman" w:eastAsia="黑体"/>
          <w:color w:val="000000"/>
          <w:highlight w:val="none"/>
        </w:rPr>
      </w:pPr>
    </w:p>
    <w:p>
      <w:pPr>
        <w:topLinePunct/>
        <w:spacing w:line="440" w:lineRule="exact"/>
        <w:ind w:firstLine="420" w:firstLineChars="200"/>
        <w:rPr>
          <w:rFonts w:ascii="Times New Roman" w:hAnsi="Times New Roman"/>
          <w:color w:val="000000"/>
          <w:highlight w:val="none"/>
        </w:rPr>
      </w:pPr>
      <w:r>
        <w:rPr>
          <w:rFonts w:ascii="Times New Roman" w:hAnsi="Times New Roman"/>
          <w:color w:val="000000"/>
          <w:highlight w:val="none"/>
        </w:rPr>
        <w:t>本人</w:t>
      </w:r>
      <w:r>
        <w:rPr>
          <w:rFonts w:ascii="Times New Roman" w:hAnsi="Times New Roman"/>
          <w:highlight w:val="none"/>
          <w:u w:val="single"/>
        </w:rPr>
        <w:t xml:space="preserve">              </w:t>
      </w:r>
      <w:r>
        <w:rPr>
          <w:rFonts w:ascii="Times New Roman" w:hAnsi="Times New Roman"/>
          <w:color w:val="000000"/>
          <w:highlight w:val="none"/>
        </w:rPr>
        <w:t>（姓名）系</w:t>
      </w:r>
      <w:r>
        <w:rPr>
          <w:rFonts w:ascii="Times New Roman" w:hAnsi="Times New Roman"/>
          <w:highlight w:val="none"/>
          <w:u w:val="single"/>
        </w:rPr>
        <w:t xml:space="preserve">                    </w:t>
      </w:r>
      <w:r>
        <w:rPr>
          <w:rFonts w:ascii="Times New Roman" w:hAnsi="Times New Roman"/>
          <w:color w:val="000000"/>
          <w:highlight w:val="none"/>
        </w:rPr>
        <w:t>（投标人名称）的法定代表人（单位负责人），现委托</w:t>
      </w:r>
      <w:r>
        <w:rPr>
          <w:rFonts w:ascii="Times New Roman" w:hAnsi="Times New Roman"/>
          <w:highlight w:val="none"/>
          <w:u w:val="single"/>
        </w:rPr>
        <w:t xml:space="preserve">            </w:t>
      </w:r>
      <w:r>
        <w:rPr>
          <w:rFonts w:ascii="Times New Roman" w:hAnsi="Times New Roman"/>
          <w:color w:val="000000"/>
          <w:highlight w:val="none"/>
        </w:rPr>
        <w:t>（姓名）</w:t>
      </w:r>
      <w:r>
        <w:rPr>
          <w:rFonts w:hint="eastAsia" w:ascii="Times New Roman" w:hAnsi="Times New Roman"/>
          <w:color w:val="000000"/>
          <w:highlight w:val="none"/>
        </w:rPr>
        <w:t>（身份证号码：      ）</w:t>
      </w:r>
      <w:r>
        <w:rPr>
          <w:rFonts w:ascii="Times New Roman" w:hAnsi="Times New Roman"/>
          <w:color w:val="000000"/>
          <w:highlight w:val="none"/>
        </w:rPr>
        <w:t>为我方代理人。代理人根据授权，以我方名义签署、澄清确认、递交、撤回、修改材料采购招标项目投标文件、签订合同和处理有关事宜，其法律后果由我方承担。</w:t>
      </w:r>
    </w:p>
    <w:p>
      <w:pPr>
        <w:spacing w:line="440" w:lineRule="exact"/>
        <w:rPr>
          <w:rFonts w:ascii="Times New Roman" w:hAnsi="Times New Roman"/>
          <w:color w:val="000000"/>
          <w:highlight w:val="none"/>
        </w:rPr>
      </w:pPr>
      <w:r>
        <w:rPr>
          <w:rFonts w:ascii="Times New Roman" w:hAnsi="Times New Roman"/>
          <w:color w:val="000000"/>
          <w:highlight w:val="none"/>
        </w:rPr>
        <w:t>委托期限：</w:t>
      </w:r>
      <w:r>
        <w:rPr>
          <w:rFonts w:ascii="Times New Roman" w:hAnsi="Times New Roman"/>
          <w:highlight w:val="none"/>
          <w:u w:val="single"/>
        </w:rPr>
        <w:t xml:space="preserve">                       </w:t>
      </w:r>
      <w:r>
        <w:rPr>
          <w:rFonts w:ascii="Times New Roman" w:hAnsi="Times New Roman"/>
          <w:color w:val="000000"/>
          <w:highlight w:val="none"/>
        </w:rPr>
        <w:t>。</w:t>
      </w:r>
    </w:p>
    <w:p>
      <w:pPr>
        <w:spacing w:line="440" w:lineRule="exact"/>
        <w:ind w:firstLine="420" w:firstLineChars="200"/>
        <w:rPr>
          <w:rFonts w:ascii="Times New Roman" w:hAnsi="Times New Roman"/>
          <w:color w:val="000000"/>
          <w:highlight w:val="none"/>
        </w:rPr>
      </w:pPr>
      <w:r>
        <w:rPr>
          <w:rFonts w:ascii="Times New Roman" w:hAnsi="Times New Roman"/>
          <w:color w:val="000000"/>
          <w:highlight w:val="none"/>
        </w:rPr>
        <w:t>代理人无转委托权。</w:t>
      </w:r>
    </w:p>
    <w:p>
      <w:pPr>
        <w:spacing w:line="440" w:lineRule="exact"/>
        <w:ind w:firstLine="420" w:firstLineChars="200"/>
        <w:rPr>
          <w:rFonts w:ascii="Times New Roman" w:hAnsi="Times New Roman"/>
          <w:color w:val="000000"/>
          <w:highlight w:val="none"/>
        </w:rPr>
      </w:pPr>
    </w:p>
    <w:p>
      <w:pPr>
        <w:spacing w:line="440" w:lineRule="exact"/>
        <w:rPr>
          <w:rFonts w:ascii="Times New Roman" w:hAnsi="Times New Roman"/>
          <w:color w:val="000000"/>
          <w:highlight w:val="none"/>
        </w:rPr>
      </w:pPr>
      <w:r>
        <w:rPr>
          <w:rFonts w:ascii="Times New Roman" w:hAnsi="Times New Roman"/>
          <w:color w:val="000000"/>
          <w:highlight w:val="none"/>
        </w:rPr>
        <w:t>附：法定代表人（单位负责人）身份证</w:t>
      </w:r>
      <w:r>
        <w:rPr>
          <w:rFonts w:hint="eastAsia" w:ascii="Times New Roman" w:hAnsi="Times New Roman"/>
          <w:color w:val="000000"/>
          <w:highlight w:val="none"/>
          <w:lang w:val="en-US" w:eastAsia="zh-CN"/>
        </w:rPr>
        <w:t>扫描</w:t>
      </w:r>
      <w:r>
        <w:rPr>
          <w:rFonts w:ascii="Times New Roman" w:hAnsi="Times New Roman"/>
          <w:color w:val="000000"/>
          <w:highlight w:val="none"/>
        </w:rPr>
        <w:t>件及委托代理人身份证</w:t>
      </w:r>
      <w:r>
        <w:rPr>
          <w:rFonts w:hint="eastAsia" w:ascii="Times New Roman" w:hAnsi="Times New Roman"/>
          <w:color w:val="000000"/>
          <w:highlight w:val="none"/>
          <w:lang w:val="en-US" w:eastAsia="zh-CN"/>
        </w:rPr>
        <w:t>扫描</w:t>
      </w:r>
      <w:r>
        <w:rPr>
          <w:rFonts w:ascii="Times New Roman" w:hAnsi="Times New Roman"/>
          <w:color w:val="000000"/>
          <w:highlight w:val="none"/>
        </w:rPr>
        <w:t>件</w:t>
      </w:r>
      <w:r>
        <w:rPr>
          <w:rFonts w:hint="eastAsia" w:ascii="Times New Roman" w:hAnsi="Times New Roman"/>
          <w:color w:val="000000"/>
          <w:highlight w:val="none"/>
        </w:rPr>
        <w:t>。</w:t>
      </w:r>
    </w:p>
    <w:p>
      <w:pPr>
        <w:spacing w:line="440" w:lineRule="exact"/>
        <w:rPr>
          <w:rFonts w:ascii="Times New Roman" w:hAnsi="Times New Roman"/>
          <w:color w:val="000000"/>
          <w:highlight w:val="none"/>
        </w:rPr>
      </w:pPr>
    </w:p>
    <w:p>
      <w:pPr>
        <w:spacing w:line="440" w:lineRule="exact"/>
        <w:rPr>
          <w:rFonts w:ascii="Times New Roman" w:hAnsi="Times New Roman"/>
          <w:color w:val="000000"/>
          <w:highlight w:val="none"/>
        </w:rPr>
      </w:pPr>
    </w:p>
    <w:p>
      <w:pPr>
        <w:spacing w:line="440" w:lineRule="exact"/>
        <w:ind w:firstLine="2692" w:firstLineChars="1282"/>
        <w:rPr>
          <w:rFonts w:ascii="Times New Roman" w:hAnsi="Times New Roman"/>
          <w:color w:val="000000"/>
          <w:highlight w:val="none"/>
        </w:rPr>
      </w:pPr>
      <w:r>
        <w:rPr>
          <w:rFonts w:ascii="Times New Roman" w:hAnsi="Times New Roman"/>
          <w:color w:val="000000"/>
          <w:highlight w:val="none"/>
        </w:rPr>
        <w:t>投  标  人：</w:t>
      </w:r>
      <w:r>
        <w:rPr>
          <w:rFonts w:ascii="Times New Roman" w:hAnsi="Times New Roman"/>
          <w:szCs w:val="21"/>
          <w:highlight w:val="none"/>
          <w:u w:val="single"/>
        </w:rPr>
        <w:tab/>
      </w:r>
      <w:r>
        <w:rPr>
          <w:rFonts w:ascii="Times New Roman" w:hAnsi="Times New Roman"/>
          <w:szCs w:val="21"/>
          <w:highlight w:val="none"/>
          <w:u w:val="single"/>
        </w:rPr>
        <w:tab/>
      </w:r>
      <w:r>
        <w:rPr>
          <w:rFonts w:ascii="Times New Roman" w:hAnsi="Times New Roman"/>
          <w:szCs w:val="21"/>
          <w:highlight w:val="none"/>
          <w:u w:val="single"/>
        </w:rPr>
        <w:tab/>
      </w:r>
      <w:r>
        <w:rPr>
          <w:rFonts w:ascii="Times New Roman" w:hAnsi="Times New Roman"/>
          <w:szCs w:val="21"/>
          <w:highlight w:val="none"/>
          <w:u w:val="single"/>
        </w:rPr>
        <w:t xml:space="preserve">                   </w:t>
      </w:r>
      <w:r>
        <w:rPr>
          <w:rFonts w:ascii="Times New Roman" w:hAnsi="Times New Roman"/>
          <w:szCs w:val="21"/>
          <w:highlight w:val="none"/>
          <w:u w:val="single"/>
        </w:rPr>
        <w:tab/>
      </w:r>
      <w:r>
        <w:rPr>
          <w:rFonts w:ascii="Times New Roman" w:hAnsi="Times New Roman"/>
          <w:color w:val="000000"/>
          <w:highlight w:val="none"/>
        </w:rPr>
        <w:t>（</w:t>
      </w:r>
      <w:r>
        <w:rPr>
          <w:rFonts w:hint="eastAsia" w:ascii="Times New Roman" w:hAnsi="Times New Roman"/>
          <w:color w:val="000000"/>
          <w:highlight w:val="none"/>
        </w:rPr>
        <w:t>盖</w:t>
      </w:r>
      <w:r>
        <w:rPr>
          <w:rFonts w:ascii="Times New Roman" w:hAnsi="Times New Roman"/>
          <w:color w:val="000000"/>
          <w:highlight w:val="none"/>
        </w:rPr>
        <w:t>单位</w:t>
      </w:r>
      <w:r>
        <w:rPr>
          <w:rFonts w:hint="eastAsia" w:ascii="Times New Roman" w:hAnsi="Times New Roman"/>
          <w:color w:val="000000"/>
          <w:highlight w:val="none"/>
        </w:rPr>
        <w:t>章</w:t>
      </w:r>
      <w:r>
        <w:rPr>
          <w:rFonts w:ascii="Times New Roman" w:hAnsi="Times New Roman"/>
          <w:color w:val="000000"/>
          <w:highlight w:val="none"/>
        </w:rPr>
        <w:t>）</w:t>
      </w:r>
    </w:p>
    <w:p>
      <w:pPr>
        <w:spacing w:line="440" w:lineRule="exact"/>
        <w:ind w:firstLine="2692" w:firstLineChars="1282"/>
        <w:rPr>
          <w:rFonts w:ascii="Times New Roman" w:hAnsi="Times New Roman"/>
          <w:color w:val="000000"/>
          <w:highlight w:val="none"/>
        </w:rPr>
      </w:pPr>
    </w:p>
    <w:p>
      <w:pPr>
        <w:spacing w:line="440" w:lineRule="exact"/>
        <w:ind w:firstLine="2690" w:firstLineChars="1281"/>
        <w:jc w:val="left"/>
        <w:rPr>
          <w:rFonts w:ascii="Times New Roman" w:hAnsi="Times New Roman"/>
          <w:color w:val="000000"/>
          <w:highlight w:val="none"/>
        </w:rPr>
      </w:pPr>
      <w:r>
        <w:rPr>
          <w:rFonts w:ascii="Times New Roman" w:hAnsi="Times New Roman"/>
          <w:color w:val="000000"/>
          <w:highlight w:val="none"/>
        </w:rPr>
        <w:t>法定代表人（单位负责人）：</w:t>
      </w:r>
      <w:r>
        <w:rPr>
          <w:rFonts w:ascii="Times New Roman" w:hAnsi="Times New Roman"/>
          <w:szCs w:val="21"/>
          <w:highlight w:val="none"/>
          <w:u w:val="single"/>
        </w:rPr>
        <w:tab/>
      </w:r>
      <w:r>
        <w:rPr>
          <w:rFonts w:ascii="Times New Roman" w:hAnsi="Times New Roman"/>
          <w:szCs w:val="21"/>
          <w:highlight w:val="none"/>
          <w:u w:val="single"/>
        </w:rPr>
        <w:tab/>
      </w:r>
      <w:r>
        <w:rPr>
          <w:rFonts w:ascii="Times New Roman" w:hAnsi="Times New Roman"/>
          <w:szCs w:val="21"/>
          <w:highlight w:val="none"/>
          <w:u w:val="single"/>
        </w:rPr>
        <w:tab/>
      </w:r>
      <w:r>
        <w:rPr>
          <w:rFonts w:ascii="Times New Roman" w:hAnsi="Times New Roman"/>
          <w:szCs w:val="21"/>
          <w:highlight w:val="none"/>
          <w:u w:val="single"/>
        </w:rPr>
        <w:t xml:space="preserve">        </w:t>
      </w:r>
      <w:r>
        <w:rPr>
          <w:rFonts w:ascii="Times New Roman" w:hAnsi="Times New Roman"/>
          <w:szCs w:val="21"/>
          <w:highlight w:val="none"/>
          <w:u w:val="single"/>
        </w:rPr>
        <w:tab/>
      </w:r>
      <w:r>
        <w:rPr>
          <w:rFonts w:ascii="Times New Roman" w:hAnsi="Times New Roman"/>
          <w:color w:val="000000"/>
          <w:highlight w:val="none"/>
        </w:rPr>
        <w:t>（签字）</w:t>
      </w:r>
    </w:p>
    <w:p>
      <w:pPr>
        <w:spacing w:line="440" w:lineRule="exact"/>
        <w:ind w:firstLine="2692" w:firstLineChars="1282"/>
        <w:rPr>
          <w:rFonts w:ascii="Times New Roman" w:hAnsi="Times New Roman"/>
          <w:color w:val="000000"/>
          <w:highlight w:val="none"/>
        </w:rPr>
      </w:pPr>
    </w:p>
    <w:p>
      <w:pPr>
        <w:spacing w:line="440" w:lineRule="exact"/>
        <w:ind w:firstLine="2692" w:firstLineChars="1282"/>
        <w:rPr>
          <w:rFonts w:ascii="Times New Roman" w:hAnsi="Times New Roman"/>
          <w:szCs w:val="21"/>
          <w:highlight w:val="none"/>
          <w:u w:val="single"/>
        </w:rPr>
      </w:pPr>
      <w:r>
        <w:rPr>
          <w:rFonts w:ascii="Times New Roman" w:hAnsi="Times New Roman"/>
          <w:color w:val="000000"/>
          <w:highlight w:val="none"/>
        </w:rPr>
        <w:t>法定代表人身份证号码：</w:t>
      </w:r>
      <w:r>
        <w:rPr>
          <w:rFonts w:ascii="Times New Roman" w:hAnsi="Times New Roman"/>
          <w:szCs w:val="21"/>
          <w:highlight w:val="none"/>
          <w:u w:val="single"/>
        </w:rPr>
        <w:tab/>
      </w:r>
      <w:r>
        <w:rPr>
          <w:rFonts w:ascii="Times New Roman" w:hAnsi="Times New Roman"/>
          <w:szCs w:val="21"/>
          <w:highlight w:val="none"/>
          <w:u w:val="single"/>
        </w:rPr>
        <w:tab/>
      </w:r>
      <w:r>
        <w:rPr>
          <w:rFonts w:ascii="Times New Roman" w:hAnsi="Times New Roman"/>
          <w:szCs w:val="21"/>
          <w:highlight w:val="none"/>
          <w:u w:val="single"/>
        </w:rPr>
        <w:tab/>
      </w:r>
      <w:r>
        <w:rPr>
          <w:rFonts w:ascii="Times New Roman" w:hAnsi="Times New Roman"/>
          <w:szCs w:val="21"/>
          <w:highlight w:val="none"/>
          <w:u w:val="single"/>
        </w:rPr>
        <w:t xml:space="preserve">                    </w:t>
      </w:r>
    </w:p>
    <w:p>
      <w:pPr>
        <w:spacing w:line="440" w:lineRule="exact"/>
        <w:ind w:firstLine="2692" w:firstLineChars="1282"/>
        <w:rPr>
          <w:rFonts w:ascii="Times New Roman" w:hAnsi="Times New Roman"/>
          <w:szCs w:val="21"/>
          <w:highlight w:val="none"/>
          <w:u w:val="single"/>
        </w:rPr>
      </w:pPr>
    </w:p>
    <w:p>
      <w:pPr>
        <w:snapToGrid w:val="0"/>
        <w:spacing w:line="360" w:lineRule="auto"/>
        <w:ind w:firstLine="2730" w:firstLineChars="1300"/>
        <w:rPr>
          <w:rFonts w:hint="eastAsia" w:ascii="宋体" w:hAnsi="宋体" w:eastAsia="宋体" w:cs="宋体"/>
          <w:szCs w:val="21"/>
          <w:highlight w:val="none"/>
        </w:rPr>
      </w:pPr>
      <w:r>
        <w:rPr>
          <w:rFonts w:hint="eastAsia" w:ascii="宋体" w:hAnsi="宋体" w:eastAsia="宋体" w:cs="宋体"/>
          <w:szCs w:val="21"/>
          <w:highlight w:val="none"/>
        </w:rPr>
        <w:t>委托代理人联系电话（手机）：</w:t>
      </w:r>
      <w:r>
        <w:rPr>
          <w:rFonts w:hint="eastAsia" w:ascii="宋体" w:hAnsi="宋体" w:eastAsia="宋体" w:cs="宋体"/>
          <w:szCs w:val="21"/>
          <w:highlight w:val="none"/>
          <w:u w:val="single"/>
        </w:rPr>
        <w:t xml:space="preserve">                      </w:t>
      </w:r>
      <w:r>
        <w:rPr>
          <w:rFonts w:hint="eastAsia" w:ascii="宋体" w:hAnsi="宋体" w:cs="宋体"/>
          <w:szCs w:val="21"/>
          <w:highlight w:val="none"/>
          <w:u w:val="single"/>
          <w:lang w:val="en-US" w:eastAsia="zh-CN"/>
        </w:rPr>
        <w:t xml:space="preserve">  </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pPr>
        <w:spacing w:line="440" w:lineRule="exact"/>
        <w:ind w:firstLine="2692" w:firstLineChars="1282"/>
        <w:rPr>
          <w:rFonts w:ascii="Times New Roman" w:hAnsi="Times New Roman"/>
          <w:color w:val="000000"/>
          <w:highlight w:val="none"/>
        </w:rPr>
      </w:pPr>
    </w:p>
    <w:p>
      <w:pPr>
        <w:spacing w:line="440" w:lineRule="exact"/>
        <w:ind w:firstLine="2692" w:firstLineChars="1282"/>
        <w:rPr>
          <w:rFonts w:ascii="Times New Roman" w:hAnsi="Times New Roman"/>
          <w:color w:val="000000"/>
          <w:highlight w:val="none"/>
        </w:rPr>
      </w:pPr>
    </w:p>
    <w:p>
      <w:pPr>
        <w:spacing w:line="440" w:lineRule="exact"/>
        <w:ind w:firstLine="4057" w:firstLineChars="1932"/>
        <w:jc w:val="right"/>
        <w:rPr>
          <w:rFonts w:ascii="Times New Roman" w:hAnsi="Times New Roman"/>
          <w:color w:val="000000"/>
          <w:highlight w:val="none"/>
        </w:rPr>
      </w:pPr>
      <w:r>
        <w:rPr>
          <w:rFonts w:ascii="Times New Roman" w:hAnsi="Times New Roman"/>
          <w:color w:val="000000"/>
          <w:highlight w:val="none"/>
          <w:u w:val="single"/>
        </w:rPr>
        <w:t xml:space="preserve">       </w:t>
      </w:r>
      <w:r>
        <w:rPr>
          <w:rFonts w:ascii="Times New Roman" w:hAnsi="Times New Roman"/>
          <w:color w:val="000000"/>
          <w:highlight w:val="none"/>
        </w:rPr>
        <w:t>年</w:t>
      </w:r>
      <w:r>
        <w:rPr>
          <w:rFonts w:ascii="Times New Roman" w:hAnsi="Times New Roman"/>
          <w:color w:val="000000"/>
          <w:highlight w:val="none"/>
          <w:u w:val="single"/>
        </w:rPr>
        <w:t xml:space="preserve">       </w:t>
      </w:r>
      <w:r>
        <w:rPr>
          <w:rFonts w:ascii="Times New Roman" w:hAnsi="Times New Roman"/>
          <w:color w:val="000000"/>
          <w:highlight w:val="none"/>
        </w:rPr>
        <w:t>月</w:t>
      </w:r>
      <w:r>
        <w:rPr>
          <w:rFonts w:ascii="Times New Roman" w:hAnsi="Times New Roman"/>
          <w:color w:val="000000"/>
          <w:highlight w:val="none"/>
          <w:u w:val="single"/>
        </w:rPr>
        <w:t xml:space="preserve">       </w:t>
      </w:r>
      <w:r>
        <w:rPr>
          <w:rFonts w:ascii="Times New Roman" w:hAnsi="Times New Roman"/>
          <w:color w:val="000000"/>
          <w:highlight w:val="none"/>
        </w:rPr>
        <w:t>日</w:t>
      </w:r>
    </w:p>
    <w:p>
      <w:pPr>
        <w:spacing w:line="440" w:lineRule="exact"/>
        <w:ind w:firstLine="4057" w:firstLineChars="1932"/>
        <w:jc w:val="right"/>
        <w:rPr>
          <w:rFonts w:ascii="Times New Roman" w:hAnsi="Times New Roman"/>
          <w:color w:val="000000"/>
          <w:highlight w:val="none"/>
        </w:rPr>
      </w:pPr>
      <w:r>
        <w:rPr>
          <w:rFonts w:ascii="Times New Roman" w:hAnsi="Times New Roman"/>
          <w:color w:val="000000"/>
          <w:highlight w:val="none"/>
        </w:rPr>
        <w:br w:type="page"/>
      </w:r>
    </w:p>
    <w:p>
      <w:pPr>
        <w:pStyle w:val="3"/>
        <w:jc w:val="center"/>
        <w:rPr>
          <w:rFonts w:ascii="Times New Roman" w:hAnsi="Times New Roman"/>
          <w:color w:val="000000"/>
          <w:highlight w:val="none"/>
        </w:rPr>
      </w:pPr>
      <w:bookmarkStart w:id="839" w:name="_Toc376915736"/>
      <w:r>
        <w:rPr>
          <w:rFonts w:ascii="Times New Roman" w:hAnsi="Times New Roman"/>
          <w:color w:val="000000"/>
          <w:highlight w:val="none"/>
        </w:rPr>
        <w:t>三、联合体协议书</w:t>
      </w:r>
      <w:bookmarkEnd w:id="839"/>
    </w:p>
    <w:p>
      <w:pPr>
        <w:topLinePunct/>
        <w:spacing w:line="440" w:lineRule="exact"/>
        <w:ind w:firstLine="420" w:firstLineChars="200"/>
        <w:rPr>
          <w:rFonts w:ascii="Times New Roman" w:hAnsi="Times New Roman"/>
          <w:color w:val="000000"/>
          <w:highlight w:val="none"/>
        </w:rPr>
      </w:pPr>
      <w:r>
        <w:rPr>
          <w:rFonts w:ascii="Times New Roman" w:hAnsi="Times New Roman"/>
          <w:highlight w:val="none"/>
          <w:u w:val="single"/>
        </w:rPr>
        <w:t xml:space="preserve">                </w:t>
      </w:r>
      <w:r>
        <w:rPr>
          <w:rFonts w:ascii="Times New Roman" w:hAnsi="Times New Roman"/>
          <w:color w:val="000000"/>
          <w:highlight w:val="none"/>
        </w:rPr>
        <w:t>（所有成员单位名称）自愿组成</w:t>
      </w:r>
      <w:r>
        <w:rPr>
          <w:rFonts w:ascii="Times New Roman" w:hAnsi="Times New Roman"/>
          <w:highlight w:val="none"/>
          <w:u w:val="single"/>
        </w:rPr>
        <w:t xml:space="preserve">        </w:t>
      </w:r>
      <w:r>
        <w:rPr>
          <w:rFonts w:ascii="Times New Roman" w:hAnsi="Times New Roman"/>
          <w:color w:val="000000"/>
          <w:highlight w:val="none"/>
        </w:rPr>
        <w:t>（联合体名称）联合体，共同参加</w:t>
      </w:r>
      <w:r>
        <w:rPr>
          <w:rFonts w:ascii="Times New Roman" w:hAnsi="Times New Roman"/>
          <w:highlight w:val="none"/>
          <w:u w:val="single"/>
        </w:rPr>
        <w:t xml:space="preserve">               </w:t>
      </w:r>
      <w:r>
        <w:rPr>
          <w:rFonts w:hint="eastAsia" w:ascii="Times New Roman" w:hAnsi="Times New Roman"/>
          <w:highlight w:val="none"/>
        </w:rPr>
        <w:t>（项目名称）</w:t>
      </w:r>
      <w:r>
        <w:rPr>
          <w:rFonts w:ascii="Times New Roman" w:hAnsi="Times New Roman"/>
          <w:color w:val="000000"/>
          <w:highlight w:val="none"/>
        </w:rPr>
        <w:t>材料采购招标项目</w:t>
      </w:r>
      <w:r>
        <w:rPr>
          <w:rFonts w:ascii="Times New Roman" w:hAnsi="Times New Roman"/>
          <w:szCs w:val="21"/>
          <w:highlight w:val="none"/>
        </w:rPr>
        <w:t>投标。现就联</w:t>
      </w:r>
      <w:r>
        <w:rPr>
          <w:rFonts w:ascii="Times New Roman" w:hAnsi="Times New Roman"/>
          <w:color w:val="000000"/>
          <w:highlight w:val="none"/>
        </w:rPr>
        <w:t>合体投标事宜订立如下协议。</w:t>
      </w:r>
    </w:p>
    <w:p>
      <w:pPr>
        <w:topLinePunct/>
        <w:spacing w:line="440" w:lineRule="exact"/>
        <w:ind w:firstLine="420" w:firstLineChars="200"/>
        <w:rPr>
          <w:rFonts w:ascii="Times New Roman" w:hAnsi="Times New Roman"/>
          <w:color w:val="000000"/>
          <w:highlight w:val="none"/>
        </w:rPr>
      </w:pPr>
      <w:r>
        <w:rPr>
          <w:rFonts w:ascii="Times New Roman" w:hAnsi="Times New Roman"/>
          <w:color w:val="000000"/>
          <w:highlight w:val="none"/>
        </w:rPr>
        <w:t xml:space="preserve">1. </w:t>
      </w:r>
      <w:r>
        <w:rPr>
          <w:rFonts w:ascii="Times New Roman" w:hAnsi="Times New Roman"/>
          <w:highlight w:val="none"/>
          <w:u w:val="single"/>
        </w:rPr>
        <w:t xml:space="preserve">                  </w:t>
      </w:r>
      <w:r>
        <w:rPr>
          <w:rFonts w:ascii="Times New Roman" w:hAnsi="Times New Roman"/>
          <w:color w:val="000000"/>
          <w:highlight w:val="none"/>
        </w:rPr>
        <w:t>（某成员单位名称）为</w:t>
      </w:r>
      <w:r>
        <w:rPr>
          <w:rFonts w:ascii="Times New Roman" w:hAnsi="Times New Roman"/>
          <w:highlight w:val="none"/>
          <w:u w:val="single"/>
        </w:rPr>
        <w:t xml:space="preserve">        </w:t>
      </w:r>
      <w:r>
        <w:rPr>
          <w:rFonts w:ascii="Times New Roman" w:hAnsi="Times New Roman"/>
          <w:color w:val="000000"/>
          <w:highlight w:val="none"/>
        </w:rPr>
        <w:t>（联合体名称）牵头人。</w:t>
      </w:r>
    </w:p>
    <w:p>
      <w:pPr>
        <w:topLinePunct/>
        <w:spacing w:line="440" w:lineRule="exact"/>
        <w:ind w:firstLine="420" w:firstLineChars="200"/>
        <w:rPr>
          <w:rFonts w:ascii="Times New Roman" w:hAnsi="Times New Roman"/>
          <w:color w:val="000000"/>
          <w:highlight w:val="none"/>
        </w:rPr>
      </w:pPr>
      <w:r>
        <w:rPr>
          <w:rFonts w:ascii="Times New Roman" w:hAnsi="Times New Roman"/>
          <w:color w:val="000000"/>
          <w:highlight w:val="none"/>
        </w:rPr>
        <w:t>2. 联合体各成员授权牵头人代表联合体参加投标活动，签署文件，提交和接收相</w:t>
      </w:r>
      <w:bookmarkStart w:id="840" w:name="_Toc300835212"/>
      <w:bookmarkStart w:id="841" w:name="_Toc152042579"/>
      <w:bookmarkStart w:id="842" w:name="_Toc384308378"/>
      <w:bookmarkStart w:id="843" w:name="_Toc247527830"/>
      <w:bookmarkStart w:id="844" w:name="_Toc361508755"/>
      <w:bookmarkStart w:id="845" w:name="_Toc144974859"/>
      <w:bookmarkStart w:id="846" w:name="_Toc152045790"/>
      <w:bookmarkStart w:id="847" w:name="_Toc247514249"/>
      <w:r>
        <w:rPr>
          <w:rFonts w:ascii="Times New Roman" w:hAnsi="Times New Roman"/>
          <w:color w:val="000000"/>
          <w:highlight w:val="none"/>
        </w:rPr>
        <w:t>关的</w:t>
      </w:r>
      <w:bookmarkStart w:id="848" w:name="_Toc352691664"/>
      <w:bookmarkStart w:id="849" w:name="_Toc369531700"/>
      <w:bookmarkStart w:id="850" w:name="_Toc7749"/>
      <w:r>
        <w:rPr>
          <w:rFonts w:ascii="Times New Roman" w:hAnsi="Times New Roman"/>
          <w:color w:val="000000"/>
          <w:highlight w:val="none"/>
        </w:rPr>
        <w:t>资料、信息及</w:t>
      </w:r>
      <w:bookmarkEnd w:id="848"/>
      <w:bookmarkEnd w:id="849"/>
      <w:bookmarkEnd w:id="850"/>
      <w:r>
        <w:rPr>
          <w:rFonts w:ascii="Times New Roman" w:hAnsi="Times New Roman"/>
          <w:color w:val="000000"/>
          <w:highlight w:val="none"/>
        </w:rPr>
        <w:t>指</w:t>
      </w:r>
      <w:bookmarkEnd w:id="840"/>
      <w:bookmarkEnd w:id="841"/>
      <w:bookmarkEnd w:id="842"/>
      <w:bookmarkEnd w:id="843"/>
      <w:bookmarkEnd w:id="844"/>
      <w:bookmarkEnd w:id="845"/>
      <w:bookmarkEnd w:id="846"/>
      <w:bookmarkEnd w:id="847"/>
      <w:r>
        <w:rPr>
          <w:rFonts w:ascii="Times New Roman" w:hAnsi="Times New Roman"/>
          <w:color w:val="000000"/>
          <w:highlight w:val="none"/>
        </w:rPr>
        <w:t>示，进行合同谈判活动，负责合同实施阶段的组织和协调工作，以及处理与本招标项目有关的一切事宜。</w:t>
      </w:r>
    </w:p>
    <w:p>
      <w:pPr>
        <w:topLinePunct/>
        <w:spacing w:line="440" w:lineRule="exact"/>
        <w:ind w:firstLine="420" w:firstLineChars="200"/>
        <w:rPr>
          <w:rFonts w:ascii="Times New Roman" w:hAnsi="Times New Roman"/>
          <w:color w:val="000000"/>
          <w:highlight w:val="none"/>
        </w:rPr>
      </w:pPr>
      <w:r>
        <w:rPr>
          <w:rFonts w:ascii="Times New Roman" w:hAnsi="Times New Roman"/>
          <w:color w:val="000000"/>
          <w:highlight w:val="none"/>
        </w:rPr>
        <w:t>3</w:t>
      </w:r>
      <w:bookmarkStart w:id="851" w:name="_Toc361508756"/>
      <w:bookmarkStart w:id="852" w:name="_Toc27930"/>
      <w:bookmarkStart w:id="853" w:name="_Toc144974860"/>
      <w:bookmarkStart w:id="854" w:name="_Toc352691665"/>
      <w:bookmarkStart w:id="855" w:name="_Toc152042580"/>
      <w:bookmarkStart w:id="856" w:name="_Toc247514283"/>
      <w:bookmarkStart w:id="857" w:name="_Toc369531701"/>
      <w:bookmarkStart w:id="858" w:name="_Toc247527831"/>
      <w:bookmarkStart w:id="859" w:name="_Toc384308380"/>
      <w:bookmarkStart w:id="860" w:name="_Toc152045791"/>
      <w:bookmarkStart w:id="861" w:name="_Toc300835213"/>
      <w:r>
        <w:rPr>
          <w:rFonts w:ascii="Times New Roman" w:hAnsi="Times New Roman"/>
          <w:color w:val="000000"/>
          <w:highlight w:val="none"/>
        </w:rPr>
        <w:t>. 联合体牵头人在本项目中签署的一切文件和处理</w:t>
      </w:r>
      <w:bookmarkEnd w:id="851"/>
      <w:bookmarkEnd w:id="852"/>
      <w:bookmarkEnd w:id="853"/>
      <w:bookmarkEnd w:id="854"/>
      <w:bookmarkEnd w:id="855"/>
      <w:bookmarkEnd w:id="856"/>
      <w:bookmarkEnd w:id="857"/>
      <w:bookmarkEnd w:id="858"/>
      <w:bookmarkEnd w:id="859"/>
      <w:bookmarkEnd w:id="860"/>
      <w:bookmarkEnd w:id="861"/>
      <w:r>
        <w:rPr>
          <w:rFonts w:ascii="Times New Roman" w:hAnsi="Times New Roman"/>
          <w:color w:val="000000"/>
          <w:highlight w:val="none"/>
        </w:rPr>
        <w:t>的一切事宜，联合体各成员均予以承认。联合体各成员将严格按照招标文件、投标文件和合同的要求全面履行义务，并向招标人承担连带责任。</w:t>
      </w:r>
    </w:p>
    <w:p>
      <w:pPr>
        <w:topLinePunct/>
        <w:spacing w:line="440" w:lineRule="exact"/>
        <w:ind w:firstLine="420" w:firstLineChars="200"/>
        <w:rPr>
          <w:rFonts w:ascii="Times New Roman" w:hAnsi="Times New Roman"/>
          <w:color w:val="000000"/>
          <w:highlight w:val="none"/>
        </w:rPr>
      </w:pPr>
      <w:r>
        <w:rPr>
          <w:rFonts w:ascii="Times New Roman" w:hAnsi="Times New Roman"/>
          <w:color w:val="000000"/>
          <w:highlight w:val="none"/>
        </w:rPr>
        <w:t>4. 联合体各成员单位内部的职责分工如下：</w:t>
      </w:r>
      <w:r>
        <w:rPr>
          <w:rFonts w:ascii="Times New Roman" w:hAnsi="Times New Roman"/>
          <w:highlight w:val="none"/>
          <w:u w:val="single"/>
        </w:rPr>
        <w:t xml:space="preserve">                                        </w:t>
      </w:r>
      <w:r>
        <w:rPr>
          <w:rFonts w:ascii="Times New Roman" w:hAnsi="Times New Roman"/>
          <w:color w:val="000000"/>
          <w:highlight w:val="none"/>
        </w:rPr>
        <w:t>。</w:t>
      </w:r>
    </w:p>
    <w:p>
      <w:pPr>
        <w:topLinePunct/>
        <w:spacing w:line="440" w:lineRule="exact"/>
        <w:ind w:firstLine="420" w:firstLineChars="200"/>
        <w:rPr>
          <w:rFonts w:ascii="Times New Roman" w:hAnsi="Times New Roman"/>
          <w:color w:val="000000"/>
          <w:highlight w:val="none"/>
        </w:rPr>
      </w:pPr>
      <w:r>
        <w:rPr>
          <w:rFonts w:ascii="Times New Roman" w:hAnsi="Times New Roman"/>
          <w:color w:val="000000"/>
          <w:highlight w:val="none"/>
        </w:rPr>
        <w:t>5. 本协议书自所有成员单位法定代表人（单位负责人）或其委托代理人签字或盖单位章之日起生效，</w:t>
      </w:r>
      <w:r>
        <w:rPr>
          <w:rFonts w:ascii="Times New Roman" w:hAnsi="Times New Roman"/>
          <w:szCs w:val="21"/>
          <w:highlight w:val="none"/>
        </w:rPr>
        <w:t>合同履行完毕后自动失效</w:t>
      </w:r>
      <w:r>
        <w:rPr>
          <w:rFonts w:ascii="Times New Roman" w:hAnsi="Times New Roman"/>
          <w:color w:val="000000"/>
          <w:highlight w:val="none"/>
        </w:rPr>
        <w:t>。</w:t>
      </w:r>
    </w:p>
    <w:p>
      <w:pPr>
        <w:topLinePunct/>
        <w:spacing w:line="440" w:lineRule="exact"/>
        <w:ind w:firstLine="420" w:firstLineChars="200"/>
        <w:rPr>
          <w:rFonts w:ascii="Times New Roman" w:hAnsi="Times New Roman"/>
          <w:color w:val="000000"/>
          <w:highlight w:val="none"/>
        </w:rPr>
      </w:pPr>
      <w:r>
        <w:rPr>
          <w:rFonts w:ascii="Times New Roman" w:hAnsi="Times New Roman"/>
          <w:color w:val="000000"/>
          <w:highlight w:val="none"/>
        </w:rPr>
        <w:t>6. 本协议书一式</w:t>
      </w:r>
      <w:r>
        <w:rPr>
          <w:rFonts w:ascii="Times New Roman" w:hAnsi="Times New Roman"/>
          <w:highlight w:val="none"/>
          <w:u w:val="single"/>
        </w:rPr>
        <w:t xml:space="preserve">    </w:t>
      </w:r>
      <w:r>
        <w:rPr>
          <w:rFonts w:ascii="Times New Roman" w:hAnsi="Times New Roman"/>
          <w:color w:val="000000"/>
          <w:highlight w:val="none"/>
        </w:rPr>
        <w:t>份，联合体成员和招标人各执一份。</w:t>
      </w:r>
    </w:p>
    <w:p>
      <w:pPr>
        <w:topLinePunct/>
        <w:spacing w:line="440" w:lineRule="exact"/>
        <w:ind w:firstLine="420" w:firstLineChars="200"/>
        <w:rPr>
          <w:rFonts w:ascii="Times New Roman" w:hAnsi="Times New Roman"/>
          <w:color w:val="000000"/>
          <w:highlight w:val="none"/>
        </w:rPr>
      </w:pPr>
    </w:p>
    <w:p>
      <w:pPr>
        <w:topLinePunct/>
        <w:spacing w:line="440" w:lineRule="exact"/>
        <w:ind w:firstLine="420" w:firstLineChars="200"/>
        <w:rPr>
          <w:rFonts w:ascii="Times New Roman" w:hAnsi="Times New Roman"/>
          <w:color w:val="000000"/>
          <w:highlight w:val="none"/>
        </w:rPr>
      </w:pPr>
      <w:r>
        <w:rPr>
          <w:rFonts w:ascii="Times New Roman" w:hAnsi="Times New Roman"/>
          <w:color w:val="000000"/>
          <w:highlight w:val="none"/>
        </w:rPr>
        <w:t>注：本协议书由法定代表人（单位负责人）签字的，应附法定代表人（单位负责人）身份证明；由委托代理人签字的，应附授权委托书。</w:t>
      </w:r>
    </w:p>
    <w:p>
      <w:pPr>
        <w:topLinePunct/>
        <w:spacing w:line="440" w:lineRule="exact"/>
        <w:rPr>
          <w:rFonts w:ascii="Times New Roman" w:hAnsi="Times New Roman"/>
          <w:color w:val="000000"/>
          <w:highlight w:val="none"/>
        </w:rPr>
      </w:pPr>
    </w:p>
    <w:p>
      <w:pPr>
        <w:topLinePunct/>
        <w:spacing w:line="440" w:lineRule="exact"/>
        <w:ind w:firstLine="2408" w:firstLineChars="1147"/>
        <w:rPr>
          <w:rFonts w:ascii="Times New Roman" w:hAnsi="Times New Roman"/>
          <w:color w:val="000000"/>
          <w:highlight w:val="none"/>
        </w:rPr>
      </w:pPr>
      <w:r>
        <w:rPr>
          <w:rFonts w:ascii="Times New Roman" w:hAnsi="Times New Roman"/>
          <w:color w:val="000000"/>
          <w:highlight w:val="none"/>
        </w:rPr>
        <w:t>联合体牵头人名称：</w:t>
      </w:r>
      <w:r>
        <w:rPr>
          <w:rFonts w:ascii="Times New Roman" w:hAnsi="Times New Roman"/>
          <w:szCs w:val="21"/>
          <w:highlight w:val="none"/>
          <w:u w:val="single"/>
        </w:rPr>
        <w:tab/>
      </w:r>
      <w:r>
        <w:rPr>
          <w:rFonts w:ascii="Times New Roman" w:hAnsi="Times New Roman"/>
          <w:szCs w:val="21"/>
          <w:highlight w:val="none"/>
          <w:u w:val="single"/>
        </w:rPr>
        <w:t xml:space="preserve">  </w:t>
      </w:r>
      <w:r>
        <w:rPr>
          <w:rFonts w:ascii="Times New Roman" w:hAnsi="Times New Roman"/>
          <w:szCs w:val="21"/>
          <w:highlight w:val="none"/>
          <w:u w:val="single"/>
        </w:rPr>
        <w:tab/>
      </w:r>
      <w:r>
        <w:rPr>
          <w:rFonts w:ascii="Times New Roman" w:hAnsi="Times New Roman"/>
          <w:szCs w:val="21"/>
          <w:highlight w:val="none"/>
          <w:u w:val="single"/>
        </w:rPr>
        <w:tab/>
      </w:r>
      <w:r>
        <w:rPr>
          <w:rFonts w:ascii="Times New Roman" w:hAnsi="Times New Roman"/>
          <w:szCs w:val="21"/>
          <w:highlight w:val="none"/>
          <w:u w:val="single"/>
        </w:rPr>
        <w:t xml:space="preserve">            </w:t>
      </w:r>
      <w:r>
        <w:rPr>
          <w:rFonts w:ascii="Times New Roman" w:hAnsi="Times New Roman"/>
          <w:szCs w:val="21"/>
          <w:highlight w:val="none"/>
          <w:u w:val="single"/>
        </w:rPr>
        <w:tab/>
      </w:r>
      <w:r>
        <w:rPr>
          <w:rFonts w:ascii="Times New Roman" w:hAnsi="Times New Roman"/>
          <w:color w:val="000000"/>
          <w:highlight w:val="none"/>
        </w:rPr>
        <w:t>（盖单位章）</w:t>
      </w:r>
    </w:p>
    <w:p>
      <w:pPr>
        <w:topLinePunct/>
        <w:spacing w:line="440" w:lineRule="exact"/>
        <w:ind w:firstLine="2408" w:firstLineChars="1147"/>
        <w:jc w:val="left"/>
        <w:rPr>
          <w:rFonts w:ascii="Times New Roman" w:hAnsi="Times New Roman"/>
          <w:color w:val="000000"/>
          <w:highlight w:val="none"/>
        </w:rPr>
      </w:pPr>
      <w:r>
        <w:rPr>
          <w:rFonts w:ascii="Times New Roman" w:hAnsi="Times New Roman"/>
          <w:color w:val="000000"/>
          <w:highlight w:val="none"/>
        </w:rPr>
        <w:t>法定代表人（单位负责人）或其委托代理人：</w:t>
      </w:r>
      <w:r>
        <w:rPr>
          <w:rFonts w:ascii="Times New Roman" w:hAnsi="Times New Roman"/>
          <w:szCs w:val="21"/>
          <w:highlight w:val="none"/>
          <w:u w:val="single"/>
        </w:rPr>
        <w:t xml:space="preserve">         </w:t>
      </w:r>
      <w:r>
        <w:rPr>
          <w:rFonts w:ascii="Times New Roman" w:hAnsi="Times New Roman"/>
          <w:szCs w:val="21"/>
          <w:highlight w:val="none"/>
          <w:u w:val="single"/>
        </w:rPr>
        <w:tab/>
      </w:r>
      <w:r>
        <w:rPr>
          <w:rFonts w:ascii="Times New Roman" w:hAnsi="Times New Roman"/>
          <w:color w:val="000000"/>
          <w:highlight w:val="none"/>
        </w:rPr>
        <w:t>（签字）</w:t>
      </w:r>
    </w:p>
    <w:p>
      <w:pPr>
        <w:topLinePunct/>
        <w:spacing w:line="440" w:lineRule="exact"/>
        <w:ind w:firstLine="2408" w:firstLineChars="1147"/>
        <w:jc w:val="left"/>
        <w:rPr>
          <w:rFonts w:ascii="Times New Roman" w:hAnsi="Times New Roman"/>
          <w:color w:val="000000"/>
          <w:highlight w:val="none"/>
        </w:rPr>
      </w:pPr>
    </w:p>
    <w:p>
      <w:pPr>
        <w:topLinePunct/>
        <w:spacing w:line="440" w:lineRule="exact"/>
        <w:ind w:firstLine="2408" w:firstLineChars="1147"/>
        <w:jc w:val="left"/>
        <w:rPr>
          <w:rFonts w:ascii="Times New Roman" w:hAnsi="Times New Roman"/>
          <w:color w:val="000000"/>
          <w:highlight w:val="none"/>
        </w:rPr>
      </w:pPr>
      <w:r>
        <w:rPr>
          <w:rFonts w:ascii="Times New Roman" w:hAnsi="Times New Roman"/>
          <w:color w:val="000000"/>
          <w:highlight w:val="none"/>
        </w:rPr>
        <w:t>联合体成员名称：</w:t>
      </w:r>
      <w:r>
        <w:rPr>
          <w:rFonts w:ascii="Times New Roman" w:hAnsi="Times New Roman"/>
          <w:szCs w:val="21"/>
          <w:highlight w:val="none"/>
          <w:u w:val="single"/>
        </w:rPr>
        <w:t xml:space="preserve">                          </w:t>
      </w:r>
      <w:r>
        <w:rPr>
          <w:rFonts w:ascii="Times New Roman" w:hAnsi="Times New Roman"/>
          <w:szCs w:val="21"/>
          <w:highlight w:val="none"/>
          <w:u w:val="single"/>
        </w:rPr>
        <w:tab/>
      </w:r>
      <w:r>
        <w:rPr>
          <w:rFonts w:ascii="Times New Roman" w:hAnsi="Times New Roman"/>
          <w:color w:val="000000"/>
          <w:highlight w:val="none"/>
        </w:rPr>
        <w:t>（盖单位章）</w:t>
      </w:r>
    </w:p>
    <w:p>
      <w:pPr>
        <w:topLinePunct/>
        <w:spacing w:line="440" w:lineRule="exact"/>
        <w:ind w:firstLine="2408" w:firstLineChars="1147"/>
        <w:jc w:val="left"/>
        <w:rPr>
          <w:rFonts w:ascii="Times New Roman" w:hAnsi="Times New Roman"/>
          <w:color w:val="000000"/>
          <w:highlight w:val="none"/>
        </w:rPr>
      </w:pPr>
      <w:r>
        <w:rPr>
          <w:rFonts w:ascii="Times New Roman" w:hAnsi="Times New Roman"/>
          <w:color w:val="000000"/>
          <w:highlight w:val="none"/>
        </w:rPr>
        <w:t>法定代表人（单位负责人）或其委托代理人：</w:t>
      </w:r>
      <w:r>
        <w:rPr>
          <w:rFonts w:ascii="Times New Roman" w:hAnsi="Times New Roman"/>
          <w:szCs w:val="21"/>
          <w:highlight w:val="none"/>
          <w:u w:val="single"/>
        </w:rPr>
        <w:t xml:space="preserve">         </w:t>
      </w:r>
      <w:r>
        <w:rPr>
          <w:rFonts w:ascii="Times New Roman" w:hAnsi="Times New Roman"/>
          <w:color w:val="000000"/>
          <w:highlight w:val="none"/>
        </w:rPr>
        <w:t>（签字）</w:t>
      </w:r>
    </w:p>
    <w:p>
      <w:pPr>
        <w:topLinePunct/>
        <w:spacing w:line="440" w:lineRule="exact"/>
        <w:ind w:firstLine="2408" w:firstLineChars="1147"/>
        <w:jc w:val="left"/>
        <w:rPr>
          <w:rFonts w:ascii="Times New Roman" w:hAnsi="Times New Roman"/>
          <w:color w:val="000000"/>
          <w:highlight w:val="none"/>
        </w:rPr>
      </w:pPr>
    </w:p>
    <w:p>
      <w:pPr>
        <w:topLinePunct/>
        <w:spacing w:line="440" w:lineRule="exact"/>
        <w:ind w:firstLine="2408" w:firstLineChars="1147"/>
        <w:jc w:val="left"/>
        <w:rPr>
          <w:rFonts w:ascii="Times New Roman" w:hAnsi="Times New Roman"/>
          <w:color w:val="000000"/>
          <w:highlight w:val="none"/>
        </w:rPr>
      </w:pPr>
      <w:r>
        <w:rPr>
          <w:rFonts w:ascii="Times New Roman" w:hAnsi="Times New Roman"/>
          <w:color w:val="000000"/>
          <w:highlight w:val="none"/>
        </w:rPr>
        <w:t>联合体成员名称：</w:t>
      </w:r>
      <w:r>
        <w:rPr>
          <w:rFonts w:ascii="Times New Roman" w:hAnsi="Times New Roman"/>
          <w:szCs w:val="21"/>
          <w:highlight w:val="none"/>
          <w:u w:val="single"/>
        </w:rPr>
        <w:t xml:space="preserve">                          </w:t>
      </w:r>
      <w:r>
        <w:rPr>
          <w:rFonts w:ascii="Times New Roman" w:hAnsi="Times New Roman"/>
          <w:szCs w:val="21"/>
          <w:highlight w:val="none"/>
          <w:u w:val="single"/>
        </w:rPr>
        <w:tab/>
      </w:r>
      <w:r>
        <w:rPr>
          <w:rFonts w:ascii="Times New Roman" w:hAnsi="Times New Roman"/>
          <w:color w:val="000000"/>
          <w:highlight w:val="none"/>
        </w:rPr>
        <w:t>（盖单位章）</w:t>
      </w:r>
    </w:p>
    <w:p>
      <w:pPr>
        <w:topLinePunct/>
        <w:spacing w:line="440" w:lineRule="exact"/>
        <w:ind w:firstLine="2408" w:firstLineChars="1147"/>
        <w:jc w:val="left"/>
        <w:rPr>
          <w:rFonts w:ascii="Times New Roman" w:hAnsi="Times New Roman"/>
          <w:color w:val="000000"/>
          <w:highlight w:val="none"/>
        </w:rPr>
      </w:pPr>
      <w:r>
        <w:rPr>
          <w:rFonts w:ascii="Times New Roman" w:hAnsi="Times New Roman"/>
          <w:color w:val="000000"/>
          <w:highlight w:val="none"/>
        </w:rPr>
        <w:t>法定代表人（单位负责人）或其委托代理人：</w:t>
      </w:r>
      <w:r>
        <w:rPr>
          <w:rFonts w:ascii="Times New Roman" w:hAnsi="Times New Roman"/>
          <w:szCs w:val="21"/>
          <w:highlight w:val="none"/>
          <w:u w:val="single"/>
        </w:rPr>
        <w:t xml:space="preserve">         </w:t>
      </w:r>
      <w:r>
        <w:rPr>
          <w:rFonts w:ascii="Times New Roman" w:hAnsi="Times New Roman"/>
          <w:color w:val="000000"/>
          <w:highlight w:val="none"/>
        </w:rPr>
        <w:t>（签字）</w:t>
      </w:r>
    </w:p>
    <w:p>
      <w:pPr>
        <w:topLinePunct/>
        <w:spacing w:line="440" w:lineRule="exact"/>
        <w:ind w:firstLine="2408" w:firstLineChars="1147"/>
        <w:rPr>
          <w:rFonts w:ascii="Times New Roman" w:hAnsi="Times New Roman"/>
          <w:color w:val="000000"/>
          <w:highlight w:val="none"/>
        </w:rPr>
      </w:pPr>
      <w:r>
        <w:rPr>
          <w:rFonts w:ascii="Times New Roman" w:hAnsi="Times New Roman"/>
          <w:color w:val="000000"/>
          <w:highlight w:val="none"/>
        </w:rPr>
        <w:t xml:space="preserve">…… </w:t>
      </w:r>
    </w:p>
    <w:p>
      <w:pPr>
        <w:topLinePunct/>
        <w:spacing w:line="440" w:lineRule="exact"/>
        <w:ind w:firstLine="3700" w:firstLineChars="1762"/>
        <w:rPr>
          <w:rFonts w:ascii="Times New Roman" w:hAnsi="Times New Roman"/>
          <w:color w:val="000000"/>
          <w:highlight w:val="none"/>
        </w:rPr>
      </w:pPr>
      <w:r>
        <w:rPr>
          <w:rFonts w:ascii="Times New Roman" w:hAnsi="Times New Roman"/>
          <w:color w:val="000000"/>
          <w:highlight w:val="none"/>
          <w:u w:val="single"/>
        </w:rPr>
        <w:t xml:space="preserve">       </w:t>
      </w:r>
      <w:r>
        <w:rPr>
          <w:rFonts w:ascii="Times New Roman" w:hAnsi="Times New Roman"/>
          <w:color w:val="000000"/>
          <w:highlight w:val="none"/>
        </w:rPr>
        <w:t>年</w:t>
      </w:r>
      <w:r>
        <w:rPr>
          <w:rFonts w:ascii="Times New Roman" w:hAnsi="Times New Roman"/>
          <w:color w:val="000000"/>
          <w:highlight w:val="none"/>
          <w:u w:val="single"/>
        </w:rPr>
        <w:t xml:space="preserve">       </w:t>
      </w:r>
      <w:r>
        <w:rPr>
          <w:rFonts w:ascii="Times New Roman" w:hAnsi="Times New Roman"/>
          <w:color w:val="000000"/>
          <w:highlight w:val="none"/>
        </w:rPr>
        <w:t>月</w:t>
      </w:r>
      <w:r>
        <w:rPr>
          <w:rFonts w:ascii="Times New Roman" w:hAnsi="Times New Roman"/>
          <w:color w:val="000000"/>
          <w:highlight w:val="none"/>
          <w:u w:val="single"/>
        </w:rPr>
        <w:t xml:space="preserve">       </w:t>
      </w:r>
      <w:r>
        <w:rPr>
          <w:rFonts w:ascii="Times New Roman" w:hAnsi="Times New Roman"/>
          <w:color w:val="000000"/>
          <w:highlight w:val="none"/>
        </w:rPr>
        <w:t>日</w:t>
      </w:r>
      <w:r>
        <w:rPr>
          <w:rFonts w:ascii="Times New Roman" w:hAnsi="Times New Roman"/>
          <w:color w:val="000000"/>
          <w:highlight w:val="none"/>
        </w:rPr>
        <w:br w:type="page"/>
      </w:r>
    </w:p>
    <w:p>
      <w:pPr>
        <w:pStyle w:val="3"/>
        <w:jc w:val="center"/>
        <w:rPr>
          <w:rFonts w:ascii="Times New Roman" w:hAnsi="Times New Roman"/>
          <w:highlight w:val="none"/>
        </w:rPr>
      </w:pPr>
      <w:bookmarkStart w:id="862" w:name="_Toc1463301204"/>
      <w:r>
        <w:rPr>
          <w:rFonts w:ascii="Times New Roman" w:hAnsi="Times New Roman"/>
          <w:highlight w:val="none"/>
        </w:rPr>
        <w:t>四、</w:t>
      </w:r>
      <w:bookmarkStart w:id="863" w:name="_Toc13469"/>
      <w:bookmarkStart w:id="864" w:name="_Toc384308381"/>
      <w:bookmarkStart w:id="865" w:name="_Toc152045792"/>
      <w:bookmarkStart w:id="866" w:name="_Toc352691666"/>
      <w:bookmarkStart w:id="867" w:name="_Toc247514284"/>
      <w:bookmarkStart w:id="868" w:name="_Toc300835214"/>
      <w:bookmarkStart w:id="869" w:name="_Toc152042581"/>
      <w:bookmarkStart w:id="870" w:name="_Toc361508757"/>
      <w:bookmarkStart w:id="871" w:name="_Toc144974861"/>
      <w:bookmarkStart w:id="872" w:name="_Toc369531702"/>
      <w:bookmarkStart w:id="873" w:name="_Toc247527832"/>
      <w:r>
        <w:rPr>
          <w:rFonts w:ascii="Times New Roman" w:hAnsi="Times New Roman"/>
          <w:highlight w:val="none"/>
        </w:rPr>
        <w:t>投标保证金</w:t>
      </w:r>
      <w:bookmarkEnd w:id="862"/>
    </w:p>
    <w:p>
      <w:pPr>
        <w:spacing w:line="440" w:lineRule="exact"/>
        <w:rPr>
          <w:rFonts w:hint="eastAsia" w:ascii="Times New Roman" w:hAnsi="Times New Roman"/>
          <w:sz w:val="21"/>
          <w:szCs w:val="21"/>
          <w:highlight w:val="none"/>
        </w:rPr>
      </w:pPr>
      <w:r>
        <w:rPr>
          <w:rFonts w:hint="eastAsia" w:ascii="Times New Roman" w:hAnsi="Times New Roman"/>
          <w:sz w:val="21"/>
          <w:szCs w:val="21"/>
          <w:highlight w:val="none"/>
        </w:rPr>
        <w:t>如采用电汇或转账，投标人应提供银行回单的扫描件，基本账户开户许可证扫描件（或基本存款账户信息）。</w:t>
      </w:r>
    </w:p>
    <w:p>
      <w:pPr>
        <w:spacing w:line="440" w:lineRule="exact"/>
        <w:rPr>
          <w:rFonts w:hint="eastAsia" w:ascii="Times New Roman" w:hAnsi="Times New Roman"/>
          <w:sz w:val="21"/>
          <w:szCs w:val="21"/>
          <w:highlight w:val="none"/>
        </w:rPr>
      </w:pPr>
      <w:r>
        <w:rPr>
          <w:rFonts w:hint="eastAsia" w:ascii="Times New Roman" w:hAnsi="Times New Roman"/>
          <w:sz w:val="21"/>
          <w:szCs w:val="21"/>
          <w:highlight w:val="none"/>
        </w:rPr>
        <w:t>如采用纸质保函，保函扫描件在此处提供，格式如下。保函原件应在在开标现场投标截止时间前密封递交招标人。</w:t>
      </w:r>
    </w:p>
    <w:p>
      <w:pPr>
        <w:spacing w:line="440" w:lineRule="exact"/>
        <w:rPr>
          <w:rFonts w:ascii="Times New Roman" w:hAnsi="Times New Roman"/>
          <w:sz w:val="21"/>
          <w:szCs w:val="21"/>
          <w:highlight w:val="none"/>
        </w:rPr>
      </w:pPr>
      <w:r>
        <w:rPr>
          <w:rFonts w:hint="eastAsia" w:ascii="Times New Roman" w:hAnsi="Times New Roman"/>
          <w:sz w:val="21"/>
          <w:szCs w:val="21"/>
          <w:highlight w:val="none"/>
        </w:rPr>
        <w:t>如采用电子保函，按电子保函服务平台及交易系统相关规定办理。</w:t>
      </w:r>
    </w:p>
    <w:p>
      <w:pPr>
        <w:spacing w:line="440" w:lineRule="exact"/>
        <w:rPr>
          <w:rFonts w:ascii="Times New Roman" w:hAnsi="Times New Roman"/>
          <w:szCs w:val="21"/>
          <w:highlight w:val="none"/>
        </w:rPr>
      </w:pPr>
    </w:p>
    <w:bookmarkEnd w:id="863"/>
    <w:bookmarkEnd w:id="864"/>
    <w:bookmarkEnd w:id="865"/>
    <w:bookmarkEnd w:id="866"/>
    <w:bookmarkEnd w:id="867"/>
    <w:bookmarkEnd w:id="868"/>
    <w:bookmarkEnd w:id="869"/>
    <w:bookmarkEnd w:id="870"/>
    <w:bookmarkEnd w:id="871"/>
    <w:bookmarkEnd w:id="872"/>
    <w:bookmarkEnd w:id="873"/>
    <w:p>
      <w:pPr>
        <w:spacing w:line="440" w:lineRule="exact"/>
        <w:rPr>
          <w:rFonts w:ascii="Times New Roman" w:hAnsi="Times New Roman"/>
          <w:highlight w:val="none"/>
        </w:rPr>
      </w:pPr>
      <w:r>
        <w:rPr>
          <w:rFonts w:ascii="Times New Roman" w:hAnsi="Times New Roman"/>
          <w:szCs w:val="21"/>
          <w:highlight w:val="none"/>
          <w:u w:val="single"/>
        </w:rPr>
        <w:tab/>
      </w:r>
      <w:r>
        <w:rPr>
          <w:rFonts w:ascii="Times New Roman" w:hAnsi="Times New Roman"/>
          <w:szCs w:val="21"/>
          <w:highlight w:val="none"/>
          <w:u w:val="single"/>
        </w:rPr>
        <w:t xml:space="preserve">          </w:t>
      </w:r>
      <w:r>
        <w:rPr>
          <w:rFonts w:ascii="Times New Roman" w:hAnsi="Times New Roman"/>
          <w:szCs w:val="21"/>
          <w:highlight w:val="none"/>
          <w:u w:val="single"/>
        </w:rPr>
        <w:tab/>
      </w:r>
      <w:r>
        <w:rPr>
          <w:rFonts w:ascii="Times New Roman" w:hAnsi="Times New Roman"/>
          <w:highlight w:val="none"/>
        </w:rPr>
        <w:t>（招标人名称）</w:t>
      </w:r>
      <w:r>
        <w:rPr>
          <w:rFonts w:ascii="Times New Roman" w:hAnsi="Times New Roman"/>
          <w:szCs w:val="21"/>
          <w:highlight w:val="none"/>
        </w:rPr>
        <w:t>：</w:t>
      </w:r>
    </w:p>
    <w:p>
      <w:pPr>
        <w:spacing w:line="440" w:lineRule="exact"/>
        <w:rPr>
          <w:rFonts w:ascii="Times New Roman" w:hAnsi="Times New Roman"/>
          <w:szCs w:val="21"/>
          <w:highlight w:val="none"/>
        </w:rPr>
      </w:pPr>
    </w:p>
    <w:p>
      <w:pPr>
        <w:spacing w:line="400" w:lineRule="exact"/>
        <w:ind w:firstLine="315" w:firstLineChars="150"/>
        <w:rPr>
          <w:rFonts w:ascii="Times New Roman" w:hAnsi="Times New Roman"/>
          <w:szCs w:val="21"/>
          <w:highlight w:val="none"/>
        </w:rPr>
      </w:pPr>
      <w:r>
        <w:rPr>
          <w:rFonts w:ascii="Times New Roman" w:hAnsi="Times New Roman"/>
          <w:highlight w:val="none"/>
        </w:rPr>
        <w:t>鉴于</w:t>
      </w:r>
      <w:r>
        <w:rPr>
          <w:rFonts w:ascii="Times New Roman" w:hAnsi="Times New Roman"/>
          <w:highlight w:val="none"/>
          <w:u w:val="single"/>
        </w:rPr>
        <w:t xml:space="preserve">               </w:t>
      </w:r>
      <w:r>
        <w:rPr>
          <w:rFonts w:ascii="Times New Roman" w:hAnsi="Times New Roman"/>
          <w:szCs w:val="21"/>
          <w:highlight w:val="none"/>
        </w:rPr>
        <w:t>（投标人名称）（以下</w:t>
      </w:r>
      <w:r>
        <w:rPr>
          <w:rFonts w:ascii="Times New Roman" w:hAnsi="Times New Roman"/>
          <w:highlight w:val="none"/>
        </w:rPr>
        <w:t>称“投标人”）于</w:t>
      </w:r>
      <w:r>
        <w:rPr>
          <w:rFonts w:ascii="Times New Roman" w:hAnsi="Times New Roman"/>
          <w:highlight w:val="none"/>
          <w:u w:val="single"/>
        </w:rPr>
        <w:t xml:space="preserve">       </w:t>
      </w:r>
      <w:r>
        <w:rPr>
          <w:rFonts w:ascii="Times New Roman" w:hAnsi="Times New Roman"/>
          <w:szCs w:val="21"/>
          <w:highlight w:val="none"/>
        </w:rPr>
        <w:t>年</w:t>
      </w:r>
      <w:r>
        <w:rPr>
          <w:rFonts w:ascii="Times New Roman" w:hAnsi="Times New Roman"/>
          <w:highlight w:val="none"/>
          <w:u w:val="single"/>
        </w:rPr>
        <w:t xml:space="preserve">       </w:t>
      </w:r>
      <w:r>
        <w:rPr>
          <w:rFonts w:ascii="Times New Roman" w:hAnsi="Times New Roman"/>
          <w:szCs w:val="21"/>
          <w:highlight w:val="none"/>
        </w:rPr>
        <w:t>月</w:t>
      </w:r>
      <w:r>
        <w:rPr>
          <w:rFonts w:ascii="Times New Roman" w:hAnsi="Times New Roman"/>
          <w:highlight w:val="none"/>
          <w:u w:val="single"/>
        </w:rPr>
        <w:t xml:space="preserve">        </w:t>
      </w:r>
      <w:r>
        <w:rPr>
          <w:rFonts w:ascii="Times New Roman" w:hAnsi="Times New Roman"/>
          <w:szCs w:val="21"/>
          <w:highlight w:val="none"/>
        </w:rPr>
        <w:t>日参加</w:t>
      </w:r>
      <w:r>
        <w:rPr>
          <w:rFonts w:ascii="Times New Roman" w:hAnsi="Times New Roman"/>
          <w:highlight w:val="none"/>
          <w:u w:val="single"/>
        </w:rPr>
        <w:t xml:space="preserve">                 </w:t>
      </w:r>
      <w:r>
        <w:rPr>
          <w:rFonts w:ascii="Times New Roman" w:hAnsi="Times New Roman"/>
          <w:color w:val="000000"/>
          <w:highlight w:val="none"/>
        </w:rPr>
        <w:t>（项目名称）材料采购招标的</w:t>
      </w:r>
      <w:r>
        <w:rPr>
          <w:rFonts w:ascii="Times New Roman" w:hAnsi="Times New Roman"/>
          <w:szCs w:val="21"/>
          <w:highlight w:val="none"/>
        </w:rPr>
        <w:t>投标，</w:t>
      </w:r>
      <w:r>
        <w:rPr>
          <w:rFonts w:ascii="Times New Roman" w:hAnsi="Times New Roman"/>
          <w:highlight w:val="none"/>
          <w:u w:val="single"/>
        </w:rPr>
        <w:t xml:space="preserve">          </w:t>
      </w:r>
      <w:r>
        <w:rPr>
          <w:rFonts w:ascii="Times New Roman" w:hAnsi="Times New Roman"/>
          <w:szCs w:val="21"/>
          <w:highlight w:val="none"/>
        </w:rPr>
        <w:t>（担保人名称，以下简称“我方”）无条件地、不可撤销地保证：若</w:t>
      </w:r>
      <w:r>
        <w:rPr>
          <w:rFonts w:ascii="Times New Roman" w:hAnsi="Times New Roman"/>
          <w:highlight w:val="none"/>
        </w:rPr>
        <w:t>投标人在</w:t>
      </w:r>
      <w:r>
        <w:rPr>
          <w:rFonts w:ascii="Times New Roman" w:hAnsi="Times New Roman"/>
          <w:color w:val="000000"/>
          <w:highlight w:val="none"/>
        </w:rPr>
        <w:t>投标有效期内</w:t>
      </w:r>
      <w:r>
        <w:rPr>
          <w:rFonts w:ascii="Times New Roman" w:hAnsi="Times New Roman"/>
          <w:szCs w:val="21"/>
          <w:highlight w:val="none"/>
        </w:rPr>
        <w:t>撤销投标文件，中标后无正当理由不与招标人订立合同，在签订合同时向招标人提出附加条件，不按照招标文件要求提交履约保证金，或者</w:t>
      </w:r>
      <w:r>
        <w:rPr>
          <w:rFonts w:ascii="Times New Roman" w:hAnsi="Times New Roman"/>
          <w:color w:val="000000"/>
          <w:highlight w:val="none"/>
        </w:rPr>
        <w:t>发生招标文件明确规定可以</w:t>
      </w:r>
      <w:r>
        <w:rPr>
          <w:rFonts w:ascii="Times New Roman" w:hAnsi="Times New Roman"/>
          <w:szCs w:val="21"/>
          <w:highlight w:val="none"/>
        </w:rPr>
        <w:t>不予退还</w:t>
      </w:r>
      <w:r>
        <w:rPr>
          <w:rFonts w:ascii="Times New Roman" w:hAnsi="Times New Roman"/>
          <w:color w:val="000000"/>
          <w:highlight w:val="none"/>
        </w:rPr>
        <w:t>投标保证金的其他情形</w:t>
      </w:r>
      <w:r>
        <w:rPr>
          <w:rFonts w:ascii="Times New Roman" w:hAnsi="Times New Roman"/>
          <w:szCs w:val="21"/>
          <w:highlight w:val="none"/>
        </w:rPr>
        <w:t>，我方承担保证责任。收到你方书面通知后，我方在7日内向你方无条件支付人民币（大写）</w:t>
      </w:r>
      <w:r>
        <w:rPr>
          <w:rFonts w:ascii="Times New Roman" w:hAnsi="Times New Roman"/>
          <w:highlight w:val="none"/>
          <w:u w:val="single"/>
        </w:rPr>
        <w:t xml:space="preserve">            </w:t>
      </w:r>
      <w:r>
        <w:rPr>
          <w:rFonts w:ascii="Times New Roman" w:hAnsi="Times New Roman"/>
          <w:szCs w:val="21"/>
          <w:highlight w:val="none"/>
        </w:rPr>
        <w:t>。</w:t>
      </w:r>
    </w:p>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本保函在投标有效期内保持有效。要求我方承担保证责任的通知应在投标有效期内送达我方。</w:t>
      </w:r>
    </w:p>
    <w:p>
      <w:pPr>
        <w:spacing w:line="440" w:lineRule="exact"/>
        <w:ind w:firstLine="420" w:firstLineChars="200"/>
        <w:rPr>
          <w:rFonts w:ascii="Times New Roman" w:hAnsi="Times New Roman"/>
          <w:szCs w:val="21"/>
          <w:highlight w:val="none"/>
        </w:rPr>
      </w:pPr>
    </w:p>
    <w:p>
      <w:pPr>
        <w:spacing w:line="440" w:lineRule="exact"/>
        <w:rPr>
          <w:rFonts w:ascii="Times New Roman" w:hAnsi="Times New Roman"/>
          <w:szCs w:val="21"/>
          <w:highlight w:val="none"/>
        </w:rPr>
      </w:pPr>
    </w:p>
    <w:p>
      <w:pPr>
        <w:spacing w:line="440" w:lineRule="exact"/>
        <w:rPr>
          <w:rFonts w:ascii="Times New Roman" w:hAnsi="Times New Roman"/>
          <w:szCs w:val="21"/>
          <w:highlight w:val="none"/>
        </w:rPr>
      </w:pPr>
    </w:p>
    <w:p>
      <w:pPr>
        <w:spacing w:line="440" w:lineRule="exact"/>
        <w:rPr>
          <w:rFonts w:ascii="Times New Roman" w:hAnsi="Times New Roman"/>
          <w:szCs w:val="21"/>
          <w:highlight w:val="none"/>
        </w:rPr>
      </w:pPr>
    </w:p>
    <w:p>
      <w:pPr>
        <w:spacing w:line="440" w:lineRule="exact"/>
        <w:ind w:firstLine="3208" w:firstLineChars="1528"/>
        <w:jc w:val="right"/>
        <w:rPr>
          <w:rFonts w:ascii="Times New Roman" w:hAnsi="Times New Roman"/>
          <w:szCs w:val="21"/>
          <w:highlight w:val="none"/>
        </w:rPr>
      </w:pPr>
      <w:r>
        <w:rPr>
          <w:rFonts w:ascii="Times New Roman" w:hAnsi="Times New Roman"/>
          <w:szCs w:val="21"/>
          <w:highlight w:val="none"/>
        </w:rPr>
        <w:t>担保人名称：</w:t>
      </w:r>
      <w:r>
        <w:rPr>
          <w:rFonts w:ascii="Times New Roman" w:hAnsi="Times New Roman"/>
          <w:szCs w:val="21"/>
          <w:highlight w:val="none"/>
          <w:u w:val="single"/>
        </w:rPr>
        <w:t xml:space="preserve">             </w:t>
      </w:r>
      <w:r>
        <w:rPr>
          <w:rFonts w:ascii="Times New Roman" w:hAnsi="Times New Roman"/>
          <w:szCs w:val="21"/>
          <w:highlight w:val="none"/>
          <w:u w:val="single"/>
        </w:rPr>
        <w:tab/>
      </w:r>
      <w:r>
        <w:rPr>
          <w:rFonts w:ascii="Times New Roman" w:hAnsi="Times New Roman"/>
          <w:szCs w:val="21"/>
          <w:highlight w:val="none"/>
          <w:u w:val="single"/>
        </w:rPr>
        <w:t xml:space="preserve">           </w:t>
      </w:r>
      <w:r>
        <w:rPr>
          <w:rFonts w:ascii="Times New Roman" w:hAnsi="Times New Roman"/>
          <w:szCs w:val="21"/>
          <w:highlight w:val="none"/>
          <w:u w:val="single"/>
        </w:rPr>
        <w:tab/>
      </w:r>
      <w:r>
        <w:rPr>
          <w:rFonts w:ascii="Times New Roman" w:hAnsi="Times New Roman"/>
          <w:szCs w:val="21"/>
          <w:highlight w:val="none"/>
        </w:rPr>
        <w:t>（盖单位章）</w:t>
      </w:r>
    </w:p>
    <w:p>
      <w:pPr>
        <w:spacing w:line="440" w:lineRule="exact"/>
        <w:ind w:firstLine="3208" w:firstLineChars="1528"/>
        <w:jc w:val="right"/>
        <w:rPr>
          <w:rFonts w:ascii="Times New Roman" w:hAnsi="Times New Roman"/>
          <w:szCs w:val="21"/>
          <w:highlight w:val="none"/>
        </w:rPr>
      </w:pPr>
      <w:r>
        <w:rPr>
          <w:rFonts w:ascii="Times New Roman" w:hAnsi="Times New Roman"/>
          <w:szCs w:val="21"/>
          <w:highlight w:val="none"/>
        </w:rPr>
        <w:t>法定代表人（单位负责人）或委托代理人：</w:t>
      </w:r>
      <w:r>
        <w:rPr>
          <w:rFonts w:ascii="Times New Roman" w:hAnsi="Times New Roman"/>
          <w:szCs w:val="21"/>
          <w:highlight w:val="none"/>
          <w:u w:val="single"/>
        </w:rPr>
        <w:t xml:space="preserve">    </w:t>
      </w:r>
      <w:r>
        <w:rPr>
          <w:rFonts w:ascii="Times New Roman" w:hAnsi="Times New Roman"/>
          <w:szCs w:val="21"/>
          <w:highlight w:val="none"/>
        </w:rPr>
        <w:t>（签字）</w:t>
      </w:r>
    </w:p>
    <w:p>
      <w:pPr>
        <w:spacing w:line="440" w:lineRule="exact"/>
        <w:ind w:firstLine="3208" w:firstLineChars="1528"/>
        <w:jc w:val="both"/>
        <w:rPr>
          <w:rFonts w:ascii="Times New Roman" w:hAnsi="Times New Roman"/>
          <w:szCs w:val="21"/>
          <w:highlight w:val="none"/>
        </w:rPr>
      </w:pPr>
      <w:r>
        <w:rPr>
          <w:rFonts w:ascii="Times New Roman" w:hAnsi="Times New Roman"/>
          <w:szCs w:val="21"/>
          <w:highlight w:val="none"/>
        </w:rPr>
        <w:t>地     址：</w:t>
      </w:r>
      <w:r>
        <w:rPr>
          <w:rFonts w:ascii="Times New Roman" w:hAnsi="Times New Roman"/>
          <w:szCs w:val="21"/>
          <w:highlight w:val="none"/>
          <w:u w:val="single"/>
        </w:rPr>
        <w:tab/>
      </w:r>
      <w:r>
        <w:rPr>
          <w:rFonts w:ascii="Times New Roman" w:hAnsi="Times New Roman"/>
          <w:szCs w:val="21"/>
          <w:highlight w:val="none"/>
          <w:u w:val="single"/>
        </w:rPr>
        <w:tab/>
      </w:r>
      <w:r>
        <w:rPr>
          <w:rFonts w:ascii="Times New Roman" w:hAnsi="Times New Roman"/>
          <w:szCs w:val="21"/>
          <w:highlight w:val="none"/>
          <w:u w:val="single"/>
        </w:rPr>
        <w:tab/>
      </w:r>
      <w:r>
        <w:rPr>
          <w:rFonts w:ascii="Times New Roman" w:hAnsi="Times New Roman"/>
          <w:szCs w:val="21"/>
          <w:highlight w:val="none"/>
          <w:u w:val="single"/>
        </w:rPr>
        <w:tab/>
      </w:r>
      <w:r>
        <w:rPr>
          <w:rFonts w:ascii="Times New Roman" w:hAnsi="Times New Roman"/>
          <w:szCs w:val="21"/>
          <w:highlight w:val="none"/>
          <w:u w:val="single"/>
        </w:rPr>
        <w:t xml:space="preserve">                     </w:t>
      </w:r>
    </w:p>
    <w:p>
      <w:pPr>
        <w:spacing w:line="440" w:lineRule="exact"/>
        <w:ind w:firstLine="3208" w:firstLineChars="1528"/>
        <w:jc w:val="both"/>
        <w:rPr>
          <w:rFonts w:ascii="Times New Roman" w:hAnsi="Times New Roman"/>
          <w:szCs w:val="21"/>
          <w:highlight w:val="none"/>
          <w:u w:val="single"/>
        </w:rPr>
      </w:pPr>
      <w:r>
        <w:rPr>
          <w:rFonts w:ascii="Times New Roman" w:hAnsi="Times New Roman"/>
          <w:szCs w:val="21"/>
          <w:highlight w:val="none"/>
        </w:rPr>
        <w:t>邮政编码：</w:t>
      </w:r>
      <w:r>
        <w:rPr>
          <w:rFonts w:ascii="Times New Roman" w:hAnsi="Times New Roman"/>
          <w:szCs w:val="21"/>
          <w:highlight w:val="none"/>
          <w:u w:val="single"/>
        </w:rPr>
        <w:tab/>
      </w:r>
      <w:r>
        <w:rPr>
          <w:rFonts w:ascii="Times New Roman" w:hAnsi="Times New Roman"/>
          <w:szCs w:val="21"/>
          <w:highlight w:val="none"/>
          <w:u w:val="single"/>
        </w:rPr>
        <w:tab/>
      </w:r>
      <w:r>
        <w:rPr>
          <w:rFonts w:ascii="Times New Roman" w:hAnsi="Times New Roman"/>
          <w:szCs w:val="21"/>
          <w:highlight w:val="none"/>
          <w:u w:val="single"/>
        </w:rPr>
        <w:tab/>
      </w:r>
      <w:r>
        <w:rPr>
          <w:rFonts w:ascii="Times New Roman" w:hAnsi="Times New Roman"/>
          <w:szCs w:val="21"/>
          <w:highlight w:val="none"/>
          <w:u w:val="single"/>
        </w:rPr>
        <w:tab/>
      </w:r>
      <w:r>
        <w:rPr>
          <w:rFonts w:ascii="Times New Roman" w:hAnsi="Times New Roman"/>
          <w:szCs w:val="21"/>
          <w:highlight w:val="none"/>
          <w:u w:val="single"/>
        </w:rPr>
        <w:tab/>
      </w:r>
      <w:r>
        <w:rPr>
          <w:rFonts w:ascii="Times New Roman" w:hAnsi="Times New Roman"/>
          <w:szCs w:val="21"/>
          <w:highlight w:val="none"/>
          <w:u w:val="single"/>
        </w:rPr>
        <w:t xml:space="preserve">            </w:t>
      </w:r>
      <w:r>
        <w:rPr>
          <w:rFonts w:ascii="Times New Roman" w:hAnsi="Times New Roman"/>
          <w:szCs w:val="21"/>
          <w:highlight w:val="none"/>
          <w:u w:val="single"/>
        </w:rPr>
        <w:tab/>
      </w:r>
      <w:bookmarkStart w:id="874" w:name="_Toc384308382"/>
      <w:bookmarkStart w:id="875" w:name="_Toc369531703"/>
      <w:bookmarkStart w:id="876" w:name="_Toc352691667"/>
      <w:bookmarkStart w:id="877" w:name="_Toc361508758"/>
      <w:bookmarkStart w:id="878" w:name="_Toc22972"/>
    </w:p>
    <w:p>
      <w:pPr>
        <w:spacing w:line="440" w:lineRule="exact"/>
        <w:ind w:firstLine="3208" w:firstLineChars="1528"/>
        <w:jc w:val="both"/>
        <w:rPr>
          <w:rFonts w:ascii="Times New Roman" w:hAnsi="Times New Roman"/>
          <w:szCs w:val="21"/>
          <w:highlight w:val="none"/>
        </w:rPr>
      </w:pPr>
      <w:r>
        <w:rPr>
          <w:rFonts w:ascii="Times New Roman" w:hAnsi="Times New Roman"/>
          <w:szCs w:val="21"/>
          <w:highlight w:val="none"/>
        </w:rPr>
        <w:t>电</w:t>
      </w:r>
      <w:bookmarkEnd w:id="874"/>
      <w:bookmarkEnd w:id="875"/>
      <w:bookmarkEnd w:id="876"/>
      <w:bookmarkEnd w:id="877"/>
      <w:bookmarkEnd w:id="878"/>
      <w:r>
        <w:rPr>
          <w:rFonts w:ascii="Times New Roman" w:hAnsi="Times New Roman"/>
          <w:szCs w:val="21"/>
          <w:highlight w:val="none"/>
        </w:rPr>
        <w:t xml:space="preserve">     话：</w:t>
      </w:r>
      <w:r>
        <w:rPr>
          <w:rFonts w:ascii="Times New Roman" w:hAnsi="Times New Roman"/>
          <w:szCs w:val="21"/>
          <w:highlight w:val="none"/>
          <w:u w:val="single"/>
        </w:rPr>
        <w:t xml:space="preserve">       </w:t>
      </w:r>
      <w:r>
        <w:rPr>
          <w:rFonts w:ascii="Times New Roman" w:hAnsi="Times New Roman"/>
          <w:szCs w:val="21"/>
          <w:highlight w:val="none"/>
          <w:u w:val="single"/>
        </w:rPr>
        <w:tab/>
      </w:r>
      <w:r>
        <w:rPr>
          <w:rFonts w:ascii="Times New Roman" w:hAnsi="Times New Roman"/>
          <w:szCs w:val="21"/>
          <w:highlight w:val="none"/>
          <w:u w:val="single"/>
        </w:rPr>
        <w:t xml:space="preserve">                         </w:t>
      </w:r>
    </w:p>
    <w:p>
      <w:pPr>
        <w:spacing w:line="440" w:lineRule="exact"/>
        <w:ind w:firstLine="3523" w:firstLineChars="1678"/>
        <w:jc w:val="right"/>
        <w:rPr>
          <w:rFonts w:ascii="Times New Roman" w:hAnsi="Times New Roman"/>
          <w:highlight w:val="none"/>
          <w:u w:val="single"/>
        </w:rPr>
      </w:pPr>
    </w:p>
    <w:p>
      <w:pPr>
        <w:topLinePunct/>
        <w:spacing w:line="440" w:lineRule="exact"/>
        <w:ind w:firstLine="4435" w:firstLineChars="2112"/>
        <w:jc w:val="right"/>
        <w:rPr>
          <w:rFonts w:ascii="Times New Roman" w:hAnsi="Times New Roman"/>
          <w:color w:val="000000"/>
          <w:highlight w:val="none"/>
        </w:rPr>
      </w:pPr>
      <w:r>
        <w:rPr>
          <w:rFonts w:ascii="Times New Roman" w:hAnsi="Times New Roman"/>
          <w:highlight w:val="none"/>
          <w:u w:val="single"/>
        </w:rPr>
        <w:t xml:space="preserve">        </w:t>
      </w:r>
      <w:r>
        <w:rPr>
          <w:rFonts w:ascii="Times New Roman" w:hAnsi="Times New Roman"/>
          <w:highlight w:val="none"/>
        </w:rPr>
        <w:t>年</w:t>
      </w:r>
      <w:r>
        <w:rPr>
          <w:rFonts w:ascii="Times New Roman" w:hAnsi="Times New Roman"/>
          <w:highlight w:val="none"/>
          <w:u w:val="single"/>
        </w:rPr>
        <w:t xml:space="preserve">        </w:t>
      </w:r>
      <w:r>
        <w:rPr>
          <w:rFonts w:ascii="Times New Roman" w:hAnsi="Times New Roman"/>
          <w:highlight w:val="none"/>
        </w:rPr>
        <w:t>月</w:t>
      </w:r>
      <w:r>
        <w:rPr>
          <w:rFonts w:ascii="Times New Roman" w:hAnsi="Times New Roman"/>
          <w:highlight w:val="none"/>
          <w:u w:val="single"/>
        </w:rPr>
        <w:t xml:space="preserve">        </w:t>
      </w:r>
      <w:r>
        <w:rPr>
          <w:rFonts w:ascii="Times New Roman" w:hAnsi="Times New Roman"/>
          <w:highlight w:val="none"/>
        </w:rPr>
        <w:t>日</w:t>
      </w:r>
    </w:p>
    <w:p>
      <w:pPr>
        <w:spacing w:line="440" w:lineRule="exact"/>
        <w:ind w:firstLine="2158" w:firstLineChars="1028"/>
        <w:jc w:val="right"/>
        <w:rPr>
          <w:rFonts w:ascii="Times New Roman" w:hAnsi="Times New Roman"/>
          <w:color w:val="000000"/>
          <w:highlight w:val="none"/>
          <w:u w:val="single"/>
        </w:rPr>
      </w:pPr>
    </w:p>
    <w:p>
      <w:pPr>
        <w:spacing w:line="440" w:lineRule="exact"/>
        <w:ind w:firstLine="2158" w:firstLineChars="1028"/>
        <w:rPr>
          <w:rFonts w:ascii="Times New Roman" w:hAnsi="Times New Roman"/>
          <w:color w:val="000000"/>
          <w:highlight w:val="none"/>
        </w:rPr>
      </w:pPr>
    </w:p>
    <w:p>
      <w:pPr>
        <w:pStyle w:val="3"/>
        <w:jc w:val="center"/>
        <w:rPr>
          <w:rFonts w:ascii="Times New Roman" w:hAnsi="Times New Roman"/>
          <w:highlight w:val="none"/>
        </w:rPr>
      </w:pPr>
      <w:bookmarkStart w:id="879" w:name="_Toc1770662487"/>
      <w:r>
        <w:rPr>
          <w:rFonts w:ascii="Times New Roman" w:hAnsi="Times New Roman"/>
          <w:highlight w:val="none"/>
        </w:rPr>
        <w:t>五、商务偏差表</w:t>
      </w:r>
      <w:bookmarkEnd w:id="879"/>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2694"/>
        <w:gridCol w:w="2979"/>
        <w:gridCol w:w="1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b/>
                <w:kern w:val="0"/>
                <w:szCs w:val="21"/>
                <w:highlight w:val="none"/>
              </w:rPr>
            </w:pPr>
            <w:r>
              <w:rPr>
                <w:rFonts w:ascii="Times New Roman" w:hAnsi="Times New Roman"/>
                <w:b/>
                <w:kern w:val="0"/>
                <w:szCs w:val="21"/>
                <w:highlight w:val="none"/>
              </w:rPr>
              <w:t>序号</w:t>
            </w:r>
          </w:p>
        </w:tc>
        <w:tc>
          <w:tcPr>
            <w:tcW w:w="2694" w:type="dxa"/>
            <w:vAlign w:val="bottom"/>
          </w:tcPr>
          <w:p>
            <w:pPr>
              <w:widowControl/>
              <w:snapToGrid w:val="0"/>
              <w:jc w:val="center"/>
              <w:rPr>
                <w:rFonts w:ascii="Times New Roman" w:hAnsi="Times New Roman"/>
                <w:b/>
                <w:kern w:val="0"/>
                <w:szCs w:val="21"/>
                <w:highlight w:val="none"/>
              </w:rPr>
            </w:pPr>
            <w:r>
              <w:rPr>
                <w:rFonts w:ascii="Times New Roman" w:hAnsi="Times New Roman"/>
                <w:b/>
                <w:kern w:val="0"/>
                <w:szCs w:val="21"/>
                <w:highlight w:val="none"/>
              </w:rPr>
              <w:t>招标文件章节及条款号</w:t>
            </w:r>
          </w:p>
        </w:tc>
        <w:tc>
          <w:tcPr>
            <w:tcW w:w="2979" w:type="dxa"/>
            <w:vAlign w:val="bottom"/>
          </w:tcPr>
          <w:p>
            <w:pPr>
              <w:widowControl/>
              <w:snapToGrid w:val="0"/>
              <w:jc w:val="center"/>
              <w:rPr>
                <w:rFonts w:ascii="Times New Roman" w:hAnsi="Times New Roman"/>
                <w:b/>
                <w:kern w:val="0"/>
                <w:szCs w:val="21"/>
                <w:highlight w:val="none"/>
              </w:rPr>
            </w:pPr>
            <w:r>
              <w:rPr>
                <w:rFonts w:ascii="Times New Roman" w:hAnsi="Times New Roman"/>
                <w:b/>
                <w:kern w:val="0"/>
                <w:szCs w:val="21"/>
                <w:highlight w:val="none"/>
              </w:rPr>
              <w:t>投标文件章节及条款号</w:t>
            </w:r>
          </w:p>
        </w:tc>
        <w:tc>
          <w:tcPr>
            <w:tcW w:w="1624" w:type="dxa"/>
            <w:vAlign w:val="bottom"/>
          </w:tcPr>
          <w:p>
            <w:pPr>
              <w:widowControl/>
              <w:snapToGrid w:val="0"/>
              <w:jc w:val="center"/>
              <w:rPr>
                <w:rFonts w:ascii="Times New Roman" w:hAnsi="Times New Roman"/>
                <w:b/>
                <w:kern w:val="0"/>
                <w:szCs w:val="21"/>
                <w:highlight w:val="none"/>
              </w:rPr>
            </w:pPr>
            <w:r>
              <w:rPr>
                <w:rFonts w:ascii="Times New Roman" w:hAnsi="Times New Roman"/>
                <w:b/>
                <w:kern w:val="0"/>
                <w:szCs w:val="21"/>
                <w:highlight w:val="none"/>
              </w:rPr>
              <w:t>偏差说明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kern w:val="0"/>
                <w:szCs w:val="21"/>
                <w:highlight w:val="none"/>
              </w:rPr>
            </w:pPr>
            <w:r>
              <w:rPr>
                <w:rFonts w:ascii="Times New Roman" w:hAnsi="Times New Roman"/>
                <w:kern w:val="0"/>
                <w:szCs w:val="21"/>
                <w:highlight w:val="none"/>
              </w:rPr>
              <w:t>1</w:t>
            </w:r>
          </w:p>
        </w:tc>
        <w:tc>
          <w:tcPr>
            <w:tcW w:w="2694" w:type="dxa"/>
            <w:vAlign w:val="bottom"/>
          </w:tcPr>
          <w:p>
            <w:pPr>
              <w:widowControl/>
              <w:snapToGrid w:val="0"/>
              <w:jc w:val="center"/>
              <w:rPr>
                <w:rFonts w:ascii="Times New Roman" w:hAnsi="Times New Roman"/>
                <w:kern w:val="0"/>
                <w:szCs w:val="21"/>
                <w:highlight w:val="none"/>
              </w:rPr>
            </w:pPr>
          </w:p>
        </w:tc>
        <w:tc>
          <w:tcPr>
            <w:tcW w:w="2979" w:type="dxa"/>
            <w:vAlign w:val="bottom"/>
          </w:tcPr>
          <w:p>
            <w:pPr>
              <w:widowControl/>
              <w:snapToGrid w:val="0"/>
              <w:jc w:val="center"/>
              <w:rPr>
                <w:rFonts w:ascii="Times New Roman" w:hAnsi="Times New Roman"/>
                <w:kern w:val="0"/>
                <w:szCs w:val="21"/>
                <w:highlight w:val="none"/>
              </w:rPr>
            </w:pPr>
          </w:p>
        </w:tc>
        <w:tc>
          <w:tcPr>
            <w:tcW w:w="1624" w:type="dxa"/>
            <w:vAlign w:val="bottom"/>
          </w:tcPr>
          <w:p>
            <w:pPr>
              <w:widowControl/>
              <w:snapToGrid w:val="0"/>
              <w:jc w:val="center"/>
              <w:rPr>
                <w:rFonts w:ascii="Times New Roman" w:hAnsi="Times New Roman"/>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kern w:val="0"/>
                <w:szCs w:val="21"/>
                <w:highlight w:val="none"/>
              </w:rPr>
            </w:pPr>
            <w:r>
              <w:rPr>
                <w:rFonts w:ascii="Times New Roman" w:hAnsi="Times New Roman"/>
                <w:kern w:val="0"/>
                <w:szCs w:val="21"/>
                <w:highlight w:val="none"/>
              </w:rPr>
              <w:t>2</w:t>
            </w:r>
          </w:p>
        </w:tc>
        <w:tc>
          <w:tcPr>
            <w:tcW w:w="2694" w:type="dxa"/>
            <w:vAlign w:val="bottom"/>
          </w:tcPr>
          <w:p>
            <w:pPr>
              <w:widowControl/>
              <w:snapToGrid w:val="0"/>
              <w:jc w:val="center"/>
              <w:rPr>
                <w:rFonts w:ascii="Times New Roman" w:hAnsi="Times New Roman"/>
                <w:kern w:val="0"/>
                <w:szCs w:val="21"/>
                <w:highlight w:val="none"/>
              </w:rPr>
            </w:pPr>
          </w:p>
        </w:tc>
        <w:tc>
          <w:tcPr>
            <w:tcW w:w="2979" w:type="dxa"/>
            <w:vAlign w:val="bottom"/>
          </w:tcPr>
          <w:p>
            <w:pPr>
              <w:widowControl/>
              <w:snapToGrid w:val="0"/>
              <w:jc w:val="center"/>
              <w:rPr>
                <w:rFonts w:ascii="Times New Roman" w:hAnsi="Times New Roman"/>
                <w:kern w:val="0"/>
                <w:szCs w:val="21"/>
                <w:highlight w:val="none"/>
              </w:rPr>
            </w:pPr>
          </w:p>
        </w:tc>
        <w:tc>
          <w:tcPr>
            <w:tcW w:w="1624" w:type="dxa"/>
            <w:vAlign w:val="bottom"/>
          </w:tcPr>
          <w:p>
            <w:pPr>
              <w:widowControl/>
              <w:snapToGrid w:val="0"/>
              <w:jc w:val="center"/>
              <w:rPr>
                <w:rFonts w:ascii="Times New Roman" w:hAnsi="Times New Roman"/>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kern w:val="0"/>
                <w:szCs w:val="21"/>
                <w:highlight w:val="none"/>
              </w:rPr>
            </w:pPr>
            <w:r>
              <w:rPr>
                <w:rFonts w:ascii="Times New Roman" w:hAnsi="Times New Roman"/>
                <w:kern w:val="0"/>
                <w:szCs w:val="21"/>
                <w:highlight w:val="none"/>
              </w:rPr>
              <w:t>3</w:t>
            </w:r>
          </w:p>
        </w:tc>
        <w:tc>
          <w:tcPr>
            <w:tcW w:w="2694" w:type="dxa"/>
            <w:vAlign w:val="bottom"/>
          </w:tcPr>
          <w:p>
            <w:pPr>
              <w:widowControl/>
              <w:snapToGrid w:val="0"/>
              <w:jc w:val="center"/>
              <w:rPr>
                <w:rFonts w:ascii="Times New Roman" w:hAnsi="Times New Roman"/>
                <w:kern w:val="0"/>
                <w:szCs w:val="21"/>
                <w:highlight w:val="none"/>
              </w:rPr>
            </w:pPr>
          </w:p>
        </w:tc>
        <w:tc>
          <w:tcPr>
            <w:tcW w:w="2979" w:type="dxa"/>
            <w:vAlign w:val="bottom"/>
          </w:tcPr>
          <w:p>
            <w:pPr>
              <w:widowControl/>
              <w:snapToGrid w:val="0"/>
              <w:jc w:val="center"/>
              <w:rPr>
                <w:rFonts w:ascii="Times New Roman" w:hAnsi="Times New Roman"/>
                <w:kern w:val="0"/>
                <w:szCs w:val="21"/>
                <w:highlight w:val="none"/>
              </w:rPr>
            </w:pPr>
          </w:p>
        </w:tc>
        <w:tc>
          <w:tcPr>
            <w:tcW w:w="1624" w:type="dxa"/>
            <w:vAlign w:val="bottom"/>
          </w:tcPr>
          <w:p>
            <w:pPr>
              <w:widowControl/>
              <w:snapToGrid w:val="0"/>
              <w:jc w:val="center"/>
              <w:rPr>
                <w:rFonts w:ascii="Times New Roman" w:hAnsi="Times New Roman"/>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kern w:val="0"/>
                <w:szCs w:val="21"/>
                <w:highlight w:val="none"/>
              </w:rPr>
            </w:pPr>
            <w:r>
              <w:rPr>
                <w:rFonts w:ascii="Times New Roman" w:hAnsi="Times New Roman"/>
                <w:kern w:val="0"/>
                <w:szCs w:val="21"/>
                <w:highlight w:val="none"/>
              </w:rPr>
              <w:t>4</w:t>
            </w:r>
          </w:p>
        </w:tc>
        <w:tc>
          <w:tcPr>
            <w:tcW w:w="2694" w:type="dxa"/>
            <w:vAlign w:val="bottom"/>
          </w:tcPr>
          <w:p>
            <w:pPr>
              <w:widowControl/>
              <w:snapToGrid w:val="0"/>
              <w:jc w:val="center"/>
              <w:rPr>
                <w:rFonts w:ascii="Times New Roman" w:hAnsi="Times New Roman"/>
                <w:kern w:val="0"/>
                <w:szCs w:val="21"/>
                <w:highlight w:val="none"/>
              </w:rPr>
            </w:pPr>
          </w:p>
        </w:tc>
        <w:tc>
          <w:tcPr>
            <w:tcW w:w="2979" w:type="dxa"/>
            <w:vAlign w:val="bottom"/>
          </w:tcPr>
          <w:p>
            <w:pPr>
              <w:widowControl/>
              <w:snapToGrid w:val="0"/>
              <w:jc w:val="center"/>
              <w:rPr>
                <w:rFonts w:ascii="Times New Roman" w:hAnsi="Times New Roman"/>
                <w:kern w:val="0"/>
                <w:szCs w:val="21"/>
                <w:highlight w:val="none"/>
              </w:rPr>
            </w:pPr>
          </w:p>
        </w:tc>
        <w:tc>
          <w:tcPr>
            <w:tcW w:w="1624" w:type="dxa"/>
            <w:vAlign w:val="bottom"/>
          </w:tcPr>
          <w:p>
            <w:pPr>
              <w:widowControl/>
              <w:snapToGrid w:val="0"/>
              <w:jc w:val="center"/>
              <w:rPr>
                <w:rFonts w:ascii="Times New Roman" w:hAnsi="Times New Roman"/>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kern w:val="0"/>
                <w:szCs w:val="21"/>
                <w:highlight w:val="none"/>
              </w:rPr>
            </w:pPr>
            <w:r>
              <w:rPr>
                <w:rFonts w:ascii="Times New Roman" w:hAnsi="Times New Roman"/>
                <w:kern w:val="0"/>
                <w:szCs w:val="21"/>
                <w:highlight w:val="none"/>
              </w:rPr>
              <w:t>5</w:t>
            </w:r>
          </w:p>
        </w:tc>
        <w:tc>
          <w:tcPr>
            <w:tcW w:w="2694" w:type="dxa"/>
            <w:vAlign w:val="bottom"/>
          </w:tcPr>
          <w:p>
            <w:pPr>
              <w:widowControl/>
              <w:snapToGrid w:val="0"/>
              <w:jc w:val="center"/>
              <w:rPr>
                <w:rFonts w:ascii="Times New Roman" w:hAnsi="Times New Roman"/>
                <w:kern w:val="0"/>
                <w:szCs w:val="21"/>
                <w:highlight w:val="none"/>
              </w:rPr>
            </w:pPr>
          </w:p>
        </w:tc>
        <w:tc>
          <w:tcPr>
            <w:tcW w:w="2979" w:type="dxa"/>
            <w:vAlign w:val="bottom"/>
          </w:tcPr>
          <w:p>
            <w:pPr>
              <w:widowControl/>
              <w:snapToGrid w:val="0"/>
              <w:jc w:val="center"/>
              <w:rPr>
                <w:rFonts w:ascii="Times New Roman" w:hAnsi="Times New Roman"/>
                <w:kern w:val="0"/>
                <w:szCs w:val="21"/>
                <w:highlight w:val="none"/>
              </w:rPr>
            </w:pPr>
          </w:p>
        </w:tc>
        <w:tc>
          <w:tcPr>
            <w:tcW w:w="1624" w:type="dxa"/>
            <w:vAlign w:val="bottom"/>
          </w:tcPr>
          <w:p>
            <w:pPr>
              <w:widowControl/>
              <w:snapToGrid w:val="0"/>
              <w:jc w:val="center"/>
              <w:rPr>
                <w:rFonts w:ascii="Times New Roman" w:hAnsi="Times New Roman"/>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kern w:val="0"/>
                <w:szCs w:val="21"/>
                <w:highlight w:val="none"/>
              </w:rPr>
            </w:pPr>
            <w:r>
              <w:rPr>
                <w:rFonts w:ascii="Times New Roman" w:hAnsi="Times New Roman"/>
                <w:kern w:val="0"/>
                <w:szCs w:val="21"/>
                <w:highlight w:val="none"/>
              </w:rPr>
              <w:t>……</w:t>
            </w:r>
          </w:p>
        </w:tc>
        <w:tc>
          <w:tcPr>
            <w:tcW w:w="2694" w:type="dxa"/>
            <w:vAlign w:val="bottom"/>
          </w:tcPr>
          <w:p>
            <w:pPr>
              <w:widowControl/>
              <w:snapToGrid w:val="0"/>
              <w:jc w:val="center"/>
              <w:rPr>
                <w:rFonts w:ascii="Times New Roman" w:hAnsi="Times New Roman"/>
                <w:kern w:val="0"/>
                <w:szCs w:val="21"/>
                <w:highlight w:val="none"/>
              </w:rPr>
            </w:pPr>
          </w:p>
        </w:tc>
        <w:tc>
          <w:tcPr>
            <w:tcW w:w="2979" w:type="dxa"/>
            <w:vAlign w:val="bottom"/>
          </w:tcPr>
          <w:p>
            <w:pPr>
              <w:widowControl/>
              <w:snapToGrid w:val="0"/>
              <w:jc w:val="center"/>
              <w:rPr>
                <w:rFonts w:ascii="Times New Roman" w:hAnsi="Times New Roman"/>
                <w:kern w:val="0"/>
                <w:szCs w:val="21"/>
                <w:highlight w:val="none"/>
              </w:rPr>
            </w:pPr>
          </w:p>
        </w:tc>
        <w:tc>
          <w:tcPr>
            <w:tcW w:w="1624" w:type="dxa"/>
            <w:vAlign w:val="bottom"/>
          </w:tcPr>
          <w:p>
            <w:pPr>
              <w:widowControl/>
              <w:snapToGrid w:val="0"/>
              <w:jc w:val="center"/>
              <w:rPr>
                <w:rFonts w:ascii="Times New Roman" w:hAnsi="Times New Roman"/>
                <w:kern w:val="0"/>
                <w:szCs w:val="21"/>
                <w:highlight w:val="none"/>
              </w:rPr>
            </w:pPr>
          </w:p>
        </w:tc>
      </w:tr>
    </w:tbl>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投标人保证：除商务偏差表列出的偏差外，投标人响应招标文件商务部分的全部要求。</w:t>
      </w:r>
    </w:p>
    <w:p>
      <w:pPr>
        <w:spacing w:line="440" w:lineRule="exact"/>
        <w:jc w:val="center"/>
        <w:rPr>
          <w:rFonts w:ascii="Times New Roman" w:hAnsi="Times New Roman" w:eastAsia="黑体"/>
          <w:sz w:val="27"/>
          <w:szCs w:val="27"/>
          <w:highlight w:val="none"/>
        </w:rPr>
      </w:pPr>
      <w:r>
        <w:rPr>
          <w:rFonts w:ascii="Times New Roman" w:hAnsi="Times New Roman" w:eastAsia="黑体"/>
          <w:sz w:val="20"/>
          <w:highlight w:val="none"/>
        </w:rPr>
        <w:br w:type="page"/>
      </w:r>
    </w:p>
    <w:p>
      <w:pPr>
        <w:pStyle w:val="3"/>
        <w:jc w:val="center"/>
        <w:rPr>
          <w:rFonts w:ascii="Times New Roman" w:hAnsi="Times New Roman"/>
          <w:highlight w:val="none"/>
        </w:rPr>
      </w:pPr>
      <w:bookmarkStart w:id="880" w:name="_Toc884957730"/>
      <w:r>
        <w:rPr>
          <w:rFonts w:ascii="Times New Roman" w:hAnsi="Times New Roman"/>
          <w:highlight w:val="none"/>
        </w:rPr>
        <w:t>六、分项报价表</w:t>
      </w:r>
      <w:bookmarkEnd w:id="880"/>
    </w:p>
    <w:p>
      <w:pPr>
        <w:spacing w:line="440" w:lineRule="exact"/>
        <w:ind w:firstLine="420" w:firstLineChars="200"/>
        <w:rPr>
          <w:rFonts w:ascii="Times New Roman" w:hAnsi="Times New Roman"/>
          <w:szCs w:val="21"/>
          <w:highlight w:val="none"/>
        </w:rPr>
      </w:pPr>
      <w:bookmarkStart w:id="881" w:name="_Toc361508760"/>
      <w:r>
        <w:rPr>
          <w:rFonts w:hint="eastAsia" w:ascii="Times New Roman" w:hAnsi="Times New Roman"/>
          <w:szCs w:val="21"/>
          <w:highlight w:val="none"/>
        </w:rPr>
        <w:t>1. 分项报价表说明</w:t>
      </w:r>
    </w:p>
    <w:p>
      <w:pPr>
        <w:spacing w:line="440" w:lineRule="exact"/>
        <w:ind w:firstLine="420" w:firstLineChars="200"/>
        <w:rPr>
          <w:rFonts w:ascii="Times New Roman" w:hAnsi="Times New Roman"/>
          <w:szCs w:val="21"/>
          <w:highlight w:val="none"/>
        </w:rPr>
      </w:pPr>
      <w:r>
        <w:rPr>
          <w:rFonts w:hint="eastAsia" w:ascii="Times New Roman" w:hAnsi="Times New Roman"/>
          <w:szCs w:val="21"/>
          <w:highlight w:val="none"/>
        </w:rPr>
        <w:t>2. 分项报价表</w:t>
      </w:r>
    </w:p>
    <w:p>
      <w:pPr>
        <w:spacing w:line="440" w:lineRule="exact"/>
        <w:ind w:firstLine="420" w:firstLineChars="200"/>
        <w:jc w:val="right"/>
        <w:rPr>
          <w:rFonts w:ascii="Times New Roman" w:hAnsi="Times New Roman"/>
          <w:szCs w:val="21"/>
          <w:highlight w:val="none"/>
        </w:rPr>
      </w:pPr>
      <w:r>
        <w:rPr>
          <w:rFonts w:hint="eastAsia" w:ascii="Times New Roman" w:hAnsi="Times New Roman"/>
          <w:szCs w:val="21"/>
          <w:highlight w:val="none"/>
        </w:rPr>
        <w:t>单位：人民币元</w:t>
      </w:r>
    </w:p>
    <w:tbl>
      <w:tblPr>
        <w:tblStyle w:val="29"/>
        <w:tblW w:w="8789" w:type="dxa"/>
        <w:tblInd w:w="108" w:type="dxa"/>
        <w:tblLayout w:type="fixed"/>
        <w:tblCellMar>
          <w:top w:w="0" w:type="dxa"/>
          <w:left w:w="108" w:type="dxa"/>
          <w:bottom w:w="0" w:type="dxa"/>
          <w:right w:w="108" w:type="dxa"/>
        </w:tblCellMar>
      </w:tblPr>
      <w:tblGrid>
        <w:gridCol w:w="709"/>
        <w:gridCol w:w="1559"/>
        <w:gridCol w:w="993"/>
        <w:gridCol w:w="1134"/>
        <w:gridCol w:w="1417"/>
        <w:gridCol w:w="1701"/>
        <w:gridCol w:w="1276"/>
      </w:tblGrid>
      <w:tr>
        <w:tblPrEx>
          <w:tblCellMar>
            <w:top w:w="0" w:type="dxa"/>
            <w:left w:w="108" w:type="dxa"/>
            <w:bottom w:w="0" w:type="dxa"/>
            <w:right w:w="108" w:type="dxa"/>
          </w:tblCellMar>
        </w:tblPrEx>
        <w:trPr>
          <w:trHeight w:val="405" w:hRule="atLeast"/>
        </w:trPr>
        <w:tc>
          <w:tcPr>
            <w:tcW w:w="70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b/>
                <w:kern w:val="0"/>
                <w:szCs w:val="21"/>
                <w:highlight w:val="none"/>
              </w:rPr>
            </w:pPr>
            <w:r>
              <w:rPr>
                <w:rFonts w:ascii="Times New Roman" w:hAnsi="Times New Roman"/>
                <w:b/>
                <w:kern w:val="0"/>
                <w:szCs w:val="21"/>
                <w:highlight w:val="none"/>
              </w:rPr>
              <w:t>序号</w:t>
            </w:r>
          </w:p>
        </w:tc>
        <w:tc>
          <w:tcPr>
            <w:tcW w:w="1559"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b/>
                <w:kern w:val="0"/>
                <w:szCs w:val="21"/>
                <w:highlight w:val="none"/>
              </w:rPr>
            </w:pPr>
            <w:r>
              <w:rPr>
                <w:rFonts w:ascii="Times New Roman" w:hAnsi="Times New Roman"/>
                <w:b/>
                <w:kern w:val="0"/>
                <w:szCs w:val="21"/>
                <w:highlight w:val="none"/>
              </w:rPr>
              <w:t>分项名称</w:t>
            </w:r>
          </w:p>
        </w:tc>
        <w:tc>
          <w:tcPr>
            <w:tcW w:w="993"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b/>
                <w:kern w:val="0"/>
                <w:szCs w:val="21"/>
                <w:highlight w:val="none"/>
              </w:rPr>
            </w:pPr>
            <w:r>
              <w:rPr>
                <w:rFonts w:ascii="Times New Roman" w:hAnsi="Times New Roman"/>
                <w:b/>
                <w:kern w:val="0"/>
                <w:szCs w:val="21"/>
                <w:highlight w:val="none"/>
              </w:rPr>
              <w:t>单位</w:t>
            </w:r>
          </w:p>
        </w:tc>
        <w:tc>
          <w:tcPr>
            <w:tcW w:w="1134"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b/>
                <w:kern w:val="0"/>
                <w:szCs w:val="21"/>
                <w:highlight w:val="none"/>
              </w:rPr>
            </w:pPr>
            <w:r>
              <w:rPr>
                <w:rFonts w:ascii="Times New Roman" w:hAnsi="Times New Roman"/>
                <w:b/>
                <w:kern w:val="0"/>
                <w:szCs w:val="21"/>
                <w:highlight w:val="none"/>
              </w:rPr>
              <w:t>数量</w:t>
            </w:r>
          </w:p>
        </w:tc>
        <w:tc>
          <w:tcPr>
            <w:tcW w:w="1417"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b/>
                <w:kern w:val="0"/>
                <w:szCs w:val="21"/>
                <w:highlight w:val="none"/>
              </w:rPr>
            </w:pPr>
            <w:r>
              <w:rPr>
                <w:rFonts w:ascii="Times New Roman" w:hAnsi="Times New Roman"/>
                <w:b/>
                <w:kern w:val="0"/>
                <w:szCs w:val="21"/>
                <w:highlight w:val="none"/>
              </w:rPr>
              <w:t>单价（元）</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b/>
                <w:kern w:val="0"/>
                <w:szCs w:val="21"/>
                <w:highlight w:val="none"/>
              </w:rPr>
            </w:pPr>
            <w:r>
              <w:rPr>
                <w:rFonts w:ascii="Times New Roman" w:hAnsi="Times New Roman"/>
                <w:b/>
                <w:kern w:val="0"/>
                <w:szCs w:val="21"/>
                <w:highlight w:val="none"/>
              </w:rPr>
              <w:t>总价（元）</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b/>
                <w:kern w:val="0"/>
                <w:szCs w:val="21"/>
                <w:highlight w:val="none"/>
              </w:rPr>
            </w:pPr>
            <w:r>
              <w:rPr>
                <w:rFonts w:ascii="Times New Roman" w:hAnsi="Times New Roman"/>
                <w:b/>
                <w:kern w:val="0"/>
                <w:szCs w:val="21"/>
                <w:highlight w:val="none"/>
              </w:rPr>
              <w:t>备注</w:t>
            </w: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Cs w:val="21"/>
                <w:highlight w:val="none"/>
              </w:rPr>
            </w:pPr>
            <w:r>
              <w:rPr>
                <w:rFonts w:ascii="Times New Roman" w:hAnsi="Times New Roman"/>
                <w:kern w:val="0"/>
                <w:szCs w:val="21"/>
                <w:highlight w:val="none"/>
              </w:rPr>
              <w:t>1</w:t>
            </w:r>
          </w:p>
        </w:tc>
        <w:tc>
          <w:tcPr>
            <w:tcW w:w="1559" w:type="dxa"/>
            <w:tcBorders>
              <w:top w:val="nil"/>
              <w:left w:val="nil"/>
              <w:bottom w:val="single" w:color="auto" w:sz="4" w:space="0"/>
              <w:right w:val="single" w:color="auto" w:sz="4" w:space="0"/>
            </w:tcBorders>
            <w:vAlign w:val="center"/>
          </w:tcPr>
          <w:p>
            <w:pPr>
              <w:widowControl/>
              <w:jc w:val="center"/>
              <w:rPr>
                <w:rFonts w:ascii="Times New Roman" w:hAnsi="Times New Roman"/>
                <w:kern w:val="0"/>
                <w:szCs w:val="21"/>
                <w:highlight w:val="none"/>
              </w:rPr>
            </w:pPr>
          </w:p>
        </w:tc>
        <w:tc>
          <w:tcPr>
            <w:tcW w:w="993" w:type="dxa"/>
            <w:tcBorders>
              <w:top w:val="single" w:color="auto" w:sz="4" w:space="0"/>
              <w:left w:val="nil"/>
              <w:bottom w:val="single" w:color="auto" w:sz="4" w:space="0"/>
              <w:right w:val="single" w:color="auto" w:sz="4" w:space="0"/>
            </w:tcBorders>
            <w:vAlign w:val="center"/>
          </w:tcPr>
          <w:p>
            <w:pPr>
              <w:jc w:val="center"/>
              <w:rPr>
                <w:rFonts w:ascii="Times New Roman" w:hAnsi="Times New Roman"/>
                <w:kern w:val="0"/>
                <w:szCs w:val="21"/>
                <w:highlight w:val="none"/>
              </w:rPr>
            </w:pPr>
          </w:p>
        </w:tc>
        <w:tc>
          <w:tcPr>
            <w:tcW w:w="1134" w:type="dxa"/>
            <w:tcBorders>
              <w:top w:val="single" w:color="auto" w:sz="4" w:space="0"/>
              <w:left w:val="nil"/>
              <w:bottom w:val="single" w:color="auto" w:sz="4" w:space="0"/>
              <w:right w:val="single" w:color="auto" w:sz="4" w:space="0"/>
            </w:tcBorders>
            <w:vAlign w:val="center"/>
          </w:tcPr>
          <w:p>
            <w:pPr>
              <w:jc w:val="center"/>
              <w:rPr>
                <w:rFonts w:ascii="Times New Roman" w:hAnsi="Times New Roman"/>
                <w:kern w:val="0"/>
                <w:szCs w:val="21"/>
                <w:highlight w:val="none"/>
              </w:rPr>
            </w:pPr>
          </w:p>
        </w:tc>
        <w:tc>
          <w:tcPr>
            <w:tcW w:w="1417" w:type="dxa"/>
            <w:tcBorders>
              <w:top w:val="nil"/>
              <w:left w:val="nil"/>
              <w:bottom w:val="single" w:color="auto" w:sz="4" w:space="0"/>
              <w:right w:val="single" w:color="auto" w:sz="4" w:space="0"/>
            </w:tcBorders>
            <w:vAlign w:val="center"/>
          </w:tcPr>
          <w:p>
            <w:pPr>
              <w:widowControl/>
              <w:jc w:val="center"/>
              <w:rPr>
                <w:rFonts w:ascii="Times New Roman" w:hAnsi="Times New Roman"/>
                <w:kern w:val="0"/>
                <w:szCs w:val="21"/>
                <w:highlight w:val="none"/>
              </w:rPr>
            </w:pPr>
          </w:p>
        </w:tc>
        <w:tc>
          <w:tcPr>
            <w:tcW w:w="1701" w:type="dxa"/>
            <w:tcBorders>
              <w:top w:val="nil"/>
              <w:left w:val="nil"/>
              <w:bottom w:val="single" w:color="auto" w:sz="4" w:space="0"/>
              <w:right w:val="single" w:color="auto" w:sz="4" w:space="0"/>
            </w:tcBorders>
            <w:vAlign w:val="center"/>
          </w:tcPr>
          <w:p>
            <w:pPr>
              <w:widowControl/>
              <w:jc w:val="center"/>
              <w:rPr>
                <w:rFonts w:ascii="Times New Roman" w:hAnsi="Times New Roman"/>
                <w:kern w:val="0"/>
                <w:szCs w:val="21"/>
                <w:highlight w:val="none"/>
              </w:rPr>
            </w:pPr>
          </w:p>
        </w:tc>
        <w:tc>
          <w:tcPr>
            <w:tcW w:w="1276" w:type="dxa"/>
            <w:tcBorders>
              <w:top w:val="nil"/>
              <w:left w:val="nil"/>
              <w:bottom w:val="single" w:color="auto" w:sz="4" w:space="0"/>
              <w:right w:val="single" w:color="auto" w:sz="4" w:space="0"/>
            </w:tcBorders>
          </w:tcPr>
          <w:p>
            <w:pPr>
              <w:widowControl/>
              <w:jc w:val="center"/>
              <w:rPr>
                <w:rFonts w:ascii="Times New Roman" w:hAnsi="Times New Roman"/>
                <w:kern w:val="0"/>
                <w:szCs w:val="21"/>
                <w:highlight w:val="none"/>
              </w:rPr>
            </w:pP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Cs w:val="21"/>
                <w:highlight w:val="none"/>
              </w:rPr>
            </w:pPr>
            <w:r>
              <w:rPr>
                <w:rFonts w:ascii="Times New Roman" w:hAnsi="Times New Roman"/>
                <w:kern w:val="0"/>
                <w:szCs w:val="21"/>
                <w:highlight w:val="none"/>
              </w:rPr>
              <w:t>2</w:t>
            </w:r>
          </w:p>
        </w:tc>
        <w:tc>
          <w:tcPr>
            <w:tcW w:w="1559" w:type="dxa"/>
            <w:tcBorders>
              <w:top w:val="nil"/>
              <w:left w:val="nil"/>
              <w:bottom w:val="single" w:color="auto" w:sz="4" w:space="0"/>
              <w:right w:val="single" w:color="auto" w:sz="4" w:space="0"/>
            </w:tcBorders>
            <w:vAlign w:val="center"/>
          </w:tcPr>
          <w:p>
            <w:pPr>
              <w:widowControl/>
              <w:jc w:val="center"/>
              <w:rPr>
                <w:rFonts w:ascii="Times New Roman" w:hAnsi="Times New Roman"/>
                <w:kern w:val="0"/>
                <w:szCs w:val="21"/>
                <w:highlight w:val="none"/>
              </w:rPr>
            </w:pPr>
          </w:p>
        </w:tc>
        <w:tc>
          <w:tcPr>
            <w:tcW w:w="993" w:type="dxa"/>
            <w:tcBorders>
              <w:top w:val="single" w:color="auto" w:sz="4" w:space="0"/>
              <w:left w:val="nil"/>
              <w:bottom w:val="single" w:color="auto" w:sz="4" w:space="0"/>
              <w:right w:val="single" w:color="auto" w:sz="4" w:space="0"/>
            </w:tcBorders>
            <w:vAlign w:val="center"/>
          </w:tcPr>
          <w:p>
            <w:pPr>
              <w:jc w:val="center"/>
              <w:rPr>
                <w:rFonts w:ascii="Times New Roman" w:hAnsi="Times New Roman"/>
                <w:kern w:val="0"/>
                <w:szCs w:val="21"/>
                <w:highlight w:val="none"/>
              </w:rPr>
            </w:pPr>
          </w:p>
        </w:tc>
        <w:tc>
          <w:tcPr>
            <w:tcW w:w="1134" w:type="dxa"/>
            <w:tcBorders>
              <w:top w:val="single" w:color="auto" w:sz="4" w:space="0"/>
              <w:left w:val="nil"/>
              <w:bottom w:val="single" w:color="auto" w:sz="4" w:space="0"/>
              <w:right w:val="single" w:color="auto" w:sz="4" w:space="0"/>
            </w:tcBorders>
            <w:vAlign w:val="center"/>
          </w:tcPr>
          <w:p>
            <w:pPr>
              <w:jc w:val="center"/>
              <w:rPr>
                <w:rFonts w:ascii="Times New Roman" w:hAnsi="Times New Roman"/>
                <w:kern w:val="0"/>
                <w:szCs w:val="21"/>
                <w:highlight w:val="none"/>
              </w:rPr>
            </w:pPr>
          </w:p>
        </w:tc>
        <w:tc>
          <w:tcPr>
            <w:tcW w:w="1417" w:type="dxa"/>
            <w:tcBorders>
              <w:top w:val="nil"/>
              <w:left w:val="nil"/>
              <w:bottom w:val="single" w:color="auto" w:sz="4" w:space="0"/>
              <w:right w:val="single" w:color="auto" w:sz="4" w:space="0"/>
            </w:tcBorders>
            <w:vAlign w:val="center"/>
          </w:tcPr>
          <w:p>
            <w:pPr>
              <w:widowControl/>
              <w:jc w:val="center"/>
              <w:rPr>
                <w:rFonts w:ascii="Times New Roman" w:hAnsi="Times New Roman"/>
                <w:kern w:val="0"/>
                <w:szCs w:val="21"/>
                <w:highlight w:val="none"/>
              </w:rPr>
            </w:pPr>
          </w:p>
        </w:tc>
        <w:tc>
          <w:tcPr>
            <w:tcW w:w="1701" w:type="dxa"/>
            <w:tcBorders>
              <w:top w:val="nil"/>
              <w:left w:val="nil"/>
              <w:bottom w:val="single" w:color="auto" w:sz="4" w:space="0"/>
              <w:right w:val="single" w:color="auto" w:sz="4" w:space="0"/>
            </w:tcBorders>
            <w:vAlign w:val="center"/>
          </w:tcPr>
          <w:p>
            <w:pPr>
              <w:widowControl/>
              <w:jc w:val="center"/>
              <w:rPr>
                <w:rFonts w:ascii="Times New Roman" w:hAnsi="Times New Roman"/>
                <w:kern w:val="0"/>
                <w:szCs w:val="21"/>
                <w:highlight w:val="none"/>
              </w:rPr>
            </w:pPr>
          </w:p>
        </w:tc>
        <w:tc>
          <w:tcPr>
            <w:tcW w:w="1276" w:type="dxa"/>
            <w:tcBorders>
              <w:top w:val="nil"/>
              <w:left w:val="nil"/>
              <w:bottom w:val="single" w:color="auto" w:sz="4" w:space="0"/>
              <w:right w:val="single" w:color="auto" w:sz="4" w:space="0"/>
            </w:tcBorders>
          </w:tcPr>
          <w:p>
            <w:pPr>
              <w:widowControl/>
              <w:jc w:val="center"/>
              <w:rPr>
                <w:rFonts w:ascii="Times New Roman" w:hAnsi="Times New Roman"/>
                <w:kern w:val="0"/>
                <w:szCs w:val="21"/>
                <w:highlight w:val="none"/>
              </w:rPr>
            </w:pP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Cs w:val="21"/>
                <w:highlight w:val="none"/>
              </w:rPr>
            </w:pPr>
            <w:r>
              <w:rPr>
                <w:rFonts w:ascii="Times New Roman" w:hAnsi="Times New Roman"/>
                <w:kern w:val="0"/>
                <w:szCs w:val="21"/>
                <w:highlight w:val="none"/>
              </w:rPr>
              <w:t>3</w:t>
            </w:r>
          </w:p>
        </w:tc>
        <w:tc>
          <w:tcPr>
            <w:tcW w:w="1559" w:type="dxa"/>
            <w:tcBorders>
              <w:top w:val="nil"/>
              <w:left w:val="nil"/>
              <w:bottom w:val="single" w:color="auto" w:sz="4" w:space="0"/>
              <w:right w:val="single" w:color="auto" w:sz="4" w:space="0"/>
            </w:tcBorders>
            <w:vAlign w:val="center"/>
          </w:tcPr>
          <w:p>
            <w:pPr>
              <w:widowControl/>
              <w:jc w:val="center"/>
              <w:rPr>
                <w:rFonts w:ascii="Times New Roman" w:hAnsi="Times New Roman"/>
                <w:kern w:val="0"/>
                <w:szCs w:val="21"/>
                <w:highlight w:val="none"/>
              </w:rPr>
            </w:pPr>
          </w:p>
        </w:tc>
        <w:tc>
          <w:tcPr>
            <w:tcW w:w="993" w:type="dxa"/>
            <w:tcBorders>
              <w:top w:val="single" w:color="auto" w:sz="4" w:space="0"/>
              <w:left w:val="nil"/>
              <w:bottom w:val="single" w:color="auto" w:sz="4" w:space="0"/>
              <w:right w:val="single" w:color="auto" w:sz="4" w:space="0"/>
            </w:tcBorders>
            <w:vAlign w:val="center"/>
          </w:tcPr>
          <w:p>
            <w:pPr>
              <w:jc w:val="center"/>
              <w:rPr>
                <w:rFonts w:ascii="Times New Roman" w:hAnsi="Times New Roman"/>
                <w:kern w:val="0"/>
                <w:szCs w:val="21"/>
                <w:highlight w:val="none"/>
              </w:rPr>
            </w:pPr>
          </w:p>
        </w:tc>
        <w:tc>
          <w:tcPr>
            <w:tcW w:w="1134" w:type="dxa"/>
            <w:tcBorders>
              <w:top w:val="single" w:color="auto" w:sz="4" w:space="0"/>
              <w:left w:val="nil"/>
              <w:bottom w:val="single" w:color="auto" w:sz="4" w:space="0"/>
              <w:right w:val="single" w:color="auto" w:sz="4" w:space="0"/>
            </w:tcBorders>
            <w:vAlign w:val="center"/>
          </w:tcPr>
          <w:p>
            <w:pPr>
              <w:jc w:val="center"/>
              <w:rPr>
                <w:rFonts w:ascii="Times New Roman" w:hAnsi="Times New Roman"/>
                <w:kern w:val="0"/>
                <w:szCs w:val="21"/>
                <w:highlight w:val="none"/>
              </w:rPr>
            </w:pPr>
          </w:p>
        </w:tc>
        <w:tc>
          <w:tcPr>
            <w:tcW w:w="1417" w:type="dxa"/>
            <w:tcBorders>
              <w:top w:val="nil"/>
              <w:left w:val="nil"/>
              <w:bottom w:val="single" w:color="auto" w:sz="4" w:space="0"/>
              <w:right w:val="single" w:color="auto" w:sz="4" w:space="0"/>
            </w:tcBorders>
            <w:vAlign w:val="center"/>
          </w:tcPr>
          <w:p>
            <w:pPr>
              <w:widowControl/>
              <w:jc w:val="center"/>
              <w:rPr>
                <w:rFonts w:ascii="Times New Roman" w:hAnsi="Times New Roman"/>
                <w:kern w:val="0"/>
                <w:szCs w:val="21"/>
                <w:highlight w:val="none"/>
              </w:rPr>
            </w:pPr>
          </w:p>
        </w:tc>
        <w:tc>
          <w:tcPr>
            <w:tcW w:w="1701" w:type="dxa"/>
            <w:tcBorders>
              <w:top w:val="nil"/>
              <w:left w:val="nil"/>
              <w:bottom w:val="single" w:color="auto" w:sz="4" w:space="0"/>
              <w:right w:val="single" w:color="auto" w:sz="4" w:space="0"/>
            </w:tcBorders>
            <w:vAlign w:val="center"/>
          </w:tcPr>
          <w:p>
            <w:pPr>
              <w:widowControl/>
              <w:jc w:val="center"/>
              <w:rPr>
                <w:rFonts w:ascii="Times New Roman" w:hAnsi="Times New Roman"/>
                <w:kern w:val="0"/>
                <w:szCs w:val="21"/>
                <w:highlight w:val="none"/>
              </w:rPr>
            </w:pPr>
          </w:p>
        </w:tc>
        <w:tc>
          <w:tcPr>
            <w:tcW w:w="1276" w:type="dxa"/>
            <w:tcBorders>
              <w:top w:val="nil"/>
              <w:left w:val="nil"/>
              <w:bottom w:val="single" w:color="auto" w:sz="4" w:space="0"/>
              <w:right w:val="single" w:color="auto" w:sz="4" w:space="0"/>
            </w:tcBorders>
          </w:tcPr>
          <w:p>
            <w:pPr>
              <w:widowControl/>
              <w:jc w:val="center"/>
              <w:rPr>
                <w:rFonts w:ascii="Times New Roman" w:hAnsi="Times New Roman"/>
                <w:kern w:val="0"/>
                <w:szCs w:val="21"/>
                <w:highlight w:val="none"/>
              </w:rPr>
            </w:pP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Cs w:val="21"/>
                <w:highlight w:val="none"/>
              </w:rPr>
            </w:pPr>
            <w:r>
              <w:rPr>
                <w:rFonts w:ascii="Times New Roman" w:hAnsi="Times New Roman"/>
                <w:kern w:val="0"/>
                <w:szCs w:val="21"/>
                <w:highlight w:val="none"/>
              </w:rPr>
              <w:t>4</w:t>
            </w:r>
          </w:p>
        </w:tc>
        <w:tc>
          <w:tcPr>
            <w:tcW w:w="1559" w:type="dxa"/>
            <w:tcBorders>
              <w:top w:val="nil"/>
              <w:left w:val="nil"/>
              <w:bottom w:val="single" w:color="auto" w:sz="4" w:space="0"/>
              <w:right w:val="single" w:color="auto" w:sz="4" w:space="0"/>
            </w:tcBorders>
            <w:vAlign w:val="center"/>
          </w:tcPr>
          <w:p>
            <w:pPr>
              <w:widowControl/>
              <w:jc w:val="center"/>
              <w:rPr>
                <w:rFonts w:ascii="Times New Roman" w:hAnsi="Times New Roman"/>
                <w:kern w:val="0"/>
                <w:szCs w:val="21"/>
                <w:highlight w:val="none"/>
              </w:rPr>
            </w:pPr>
          </w:p>
        </w:tc>
        <w:tc>
          <w:tcPr>
            <w:tcW w:w="993"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kern w:val="0"/>
                <w:szCs w:val="21"/>
                <w:highlight w:val="none"/>
              </w:rPr>
            </w:pPr>
          </w:p>
        </w:tc>
        <w:tc>
          <w:tcPr>
            <w:tcW w:w="1134"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kern w:val="0"/>
                <w:szCs w:val="21"/>
                <w:highlight w:val="none"/>
              </w:rPr>
            </w:pPr>
          </w:p>
        </w:tc>
        <w:tc>
          <w:tcPr>
            <w:tcW w:w="1417" w:type="dxa"/>
            <w:tcBorders>
              <w:top w:val="nil"/>
              <w:left w:val="nil"/>
              <w:bottom w:val="single" w:color="auto" w:sz="4" w:space="0"/>
              <w:right w:val="single" w:color="auto" w:sz="4" w:space="0"/>
            </w:tcBorders>
            <w:vAlign w:val="center"/>
          </w:tcPr>
          <w:p>
            <w:pPr>
              <w:widowControl/>
              <w:jc w:val="center"/>
              <w:rPr>
                <w:rFonts w:ascii="Times New Roman" w:hAnsi="Times New Roman"/>
                <w:kern w:val="0"/>
                <w:szCs w:val="21"/>
                <w:highlight w:val="none"/>
              </w:rPr>
            </w:pPr>
          </w:p>
        </w:tc>
        <w:tc>
          <w:tcPr>
            <w:tcW w:w="1701" w:type="dxa"/>
            <w:tcBorders>
              <w:top w:val="nil"/>
              <w:left w:val="nil"/>
              <w:bottom w:val="single" w:color="auto" w:sz="4" w:space="0"/>
              <w:right w:val="single" w:color="auto" w:sz="4" w:space="0"/>
            </w:tcBorders>
            <w:vAlign w:val="center"/>
          </w:tcPr>
          <w:p>
            <w:pPr>
              <w:widowControl/>
              <w:jc w:val="center"/>
              <w:rPr>
                <w:rFonts w:ascii="Times New Roman" w:hAnsi="Times New Roman"/>
                <w:kern w:val="0"/>
                <w:szCs w:val="21"/>
                <w:highlight w:val="none"/>
              </w:rPr>
            </w:pPr>
          </w:p>
        </w:tc>
        <w:tc>
          <w:tcPr>
            <w:tcW w:w="1276" w:type="dxa"/>
            <w:tcBorders>
              <w:top w:val="nil"/>
              <w:left w:val="nil"/>
              <w:bottom w:val="single" w:color="auto" w:sz="4" w:space="0"/>
              <w:right w:val="single" w:color="auto" w:sz="4" w:space="0"/>
            </w:tcBorders>
          </w:tcPr>
          <w:p>
            <w:pPr>
              <w:widowControl/>
              <w:jc w:val="center"/>
              <w:rPr>
                <w:rFonts w:ascii="Times New Roman" w:hAnsi="Times New Roman"/>
                <w:kern w:val="0"/>
                <w:szCs w:val="21"/>
                <w:highlight w:val="none"/>
              </w:rPr>
            </w:pP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Cs w:val="21"/>
                <w:highlight w:val="none"/>
              </w:rPr>
            </w:pPr>
            <w:r>
              <w:rPr>
                <w:rFonts w:ascii="Times New Roman" w:hAnsi="Times New Roman"/>
                <w:kern w:val="0"/>
                <w:szCs w:val="21"/>
                <w:highlight w:val="none"/>
              </w:rPr>
              <w:t>5</w:t>
            </w:r>
          </w:p>
        </w:tc>
        <w:tc>
          <w:tcPr>
            <w:tcW w:w="1559" w:type="dxa"/>
            <w:tcBorders>
              <w:top w:val="nil"/>
              <w:left w:val="nil"/>
              <w:bottom w:val="single" w:color="auto" w:sz="4" w:space="0"/>
              <w:right w:val="single" w:color="auto" w:sz="4" w:space="0"/>
            </w:tcBorders>
            <w:vAlign w:val="center"/>
          </w:tcPr>
          <w:p>
            <w:pPr>
              <w:widowControl/>
              <w:jc w:val="center"/>
              <w:rPr>
                <w:rFonts w:ascii="Times New Roman" w:hAnsi="Times New Roman"/>
                <w:kern w:val="0"/>
                <w:szCs w:val="21"/>
                <w:highlight w:val="none"/>
              </w:rPr>
            </w:pPr>
          </w:p>
        </w:tc>
        <w:tc>
          <w:tcPr>
            <w:tcW w:w="993" w:type="dxa"/>
            <w:tcBorders>
              <w:top w:val="single" w:color="auto" w:sz="4" w:space="0"/>
              <w:left w:val="nil"/>
              <w:bottom w:val="single" w:color="auto" w:sz="4" w:space="0"/>
              <w:right w:val="single" w:color="auto" w:sz="4" w:space="0"/>
            </w:tcBorders>
            <w:vAlign w:val="center"/>
          </w:tcPr>
          <w:p>
            <w:pPr>
              <w:widowControl/>
              <w:jc w:val="left"/>
              <w:rPr>
                <w:rFonts w:ascii="Times New Roman" w:hAnsi="Times New Roman"/>
                <w:kern w:val="0"/>
                <w:szCs w:val="21"/>
                <w:highlight w:val="none"/>
              </w:rPr>
            </w:pPr>
          </w:p>
        </w:tc>
        <w:tc>
          <w:tcPr>
            <w:tcW w:w="1134" w:type="dxa"/>
            <w:tcBorders>
              <w:top w:val="single" w:color="auto" w:sz="4" w:space="0"/>
              <w:left w:val="nil"/>
              <w:bottom w:val="single" w:color="auto" w:sz="4" w:space="0"/>
              <w:right w:val="single" w:color="auto" w:sz="4" w:space="0"/>
            </w:tcBorders>
            <w:vAlign w:val="center"/>
          </w:tcPr>
          <w:p>
            <w:pPr>
              <w:widowControl/>
              <w:jc w:val="left"/>
              <w:rPr>
                <w:rFonts w:ascii="Times New Roman" w:hAnsi="Times New Roman"/>
                <w:kern w:val="0"/>
                <w:szCs w:val="21"/>
                <w:highlight w:val="none"/>
              </w:rPr>
            </w:pPr>
          </w:p>
        </w:tc>
        <w:tc>
          <w:tcPr>
            <w:tcW w:w="1417" w:type="dxa"/>
            <w:tcBorders>
              <w:top w:val="nil"/>
              <w:left w:val="nil"/>
              <w:bottom w:val="single" w:color="auto" w:sz="4" w:space="0"/>
              <w:right w:val="single" w:color="auto" w:sz="4" w:space="0"/>
            </w:tcBorders>
            <w:vAlign w:val="center"/>
          </w:tcPr>
          <w:p>
            <w:pPr>
              <w:widowControl/>
              <w:jc w:val="left"/>
              <w:rPr>
                <w:rFonts w:ascii="Times New Roman" w:hAnsi="Times New Roman"/>
                <w:kern w:val="0"/>
                <w:szCs w:val="21"/>
                <w:highlight w:val="none"/>
              </w:rPr>
            </w:pPr>
          </w:p>
        </w:tc>
        <w:tc>
          <w:tcPr>
            <w:tcW w:w="1701" w:type="dxa"/>
            <w:tcBorders>
              <w:top w:val="nil"/>
              <w:left w:val="nil"/>
              <w:bottom w:val="single" w:color="auto" w:sz="4" w:space="0"/>
              <w:right w:val="single" w:color="auto" w:sz="4" w:space="0"/>
            </w:tcBorders>
            <w:vAlign w:val="center"/>
          </w:tcPr>
          <w:p>
            <w:pPr>
              <w:widowControl/>
              <w:jc w:val="left"/>
              <w:rPr>
                <w:rFonts w:ascii="Times New Roman" w:hAnsi="Times New Roman"/>
                <w:kern w:val="0"/>
                <w:szCs w:val="21"/>
                <w:highlight w:val="none"/>
              </w:rPr>
            </w:pPr>
          </w:p>
        </w:tc>
        <w:tc>
          <w:tcPr>
            <w:tcW w:w="1276" w:type="dxa"/>
            <w:tcBorders>
              <w:top w:val="nil"/>
              <w:left w:val="nil"/>
              <w:bottom w:val="single" w:color="auto" w:sz="4" w:space="0"/>
              <w:right w:val="single" w:color="auto" w:sz="4" w:space="0"/>
            </w:tcBorders>
          </w:tcPr>
          <w:p>
            <w:pPr>
              <w:widowControl/>
              <w:jc w:val="left"/>
              <w:rPr>
                <w:rFonts w:ascii="Times New Roman" w:hAnsi="Times New Roman"/>
                <w:kern w:val="0"/>
                <w:szCs w:val="21"/>
                <w:highlight w:val="none"/>
              </w:rPr>
            </w:pP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Cs w:val="21"/>
                <w:highlight w:val="none"/>
              </w:rPr>
            </w:pPr>
            <w:r>
              <w:rPr>
                <w:rFonts w:ascii="Times New Roman" w:hAnsi="Times New Roman"/>
                <w:kern w:val="0"/>
                <w:szCs w:val="21"/>
                <w:highlight w:val="none"/>
              </w:rPr>
              <w:t>……</w:t>
            </w:r>
          </w:p>
        </w:tc>
        <w:tc>
          <w:tcPr>
            <w:tcW w:w="1559" w:type="dxa"/>
            <w:tcBorders>
              <w:top w:val="nil"/>
              <w:left w:val="nil"/>
              <w:bottom w:val="single" w:color="auto" w:sz="4" w:space="0"/>
              <w:right w:val="single" w:color="auto" w:sz="4" w:space="0"/>
            </w:tcBorders>
            <w:vAlign w:val="center"/>
          </w:tcPr>
          <w:p>
            <w:pPr>
              <w:widowControl/>
              <w:jc w:val="center"/>
              <w:rPr>
                <w:rFonts w:ascii="Times New Roman" w:hAnsi="Times New Roman"/>
                <w:kern w:val="0"/>
                <w:szCs w:val="21"/>
                <w:highlight w:val="none"/>
              </w:rPr>
            </w:pPr>
            <w:r>
              <w:rPr>
                <w:rFonts w:ascii="Times New Roman" w:hAnsi="Times New Roman"/>
                <w:kern w:val="0"/>
                <w:szCs w:val="21"/>
                <w:highlight w:val="none"/>
              </w:rPr>
              <w:t>……</w:t>
            </w:r>
          </w:p>
        </w:tc>
        <w:tc>
          <w:tcPr>
            <w:tcW w:w="993" w:type="dxa"/>
            <w:tcBorders>
              <w:top w:val="single" w:color="auto" w:sz="4" w:space="0"/>
              <w:left w:val="nil"/>
              <w:bottom w:val="single" w:color="auto" w:sz="4" w:space="0"/>
              <w:right w:val="single" w:color="auto" w:sz="4" w:space="0"/>
            </w:tcBorders>
            <w:vAlign w:val="center"/>
          </w:tcPr>
          <w:p>
            <w:pPr>
              <w:widowControl/>
              <w:jc w:val="left"/>
              <w:rPr>
                <w:rFonts w:ascii="Times New Roman" w:hAnsi="Times New Roman"/>
                <w:kern w:val="0"/>
                <w:szCs w:val="21"/>
                <w:highlight w:val="none"/>
              </w:rPr>
            </w:pPr>
          </w:p>
        </w:tc>
        <w:tc>
          <w:tcPr>
            <w:tcW w:w="1134" w:type="dxa"/>
            <w:tcBorders>
              <w:top w:val="single" w:color="auto" w:sz="4" w:space="0"/>
              <w:left w:val="nil"/>
              <w:bottom w:val="single" w:color="auto" w:sz="4" w:space="0"/>
              <w:right w:val="single" w:color="auto" w:sz="4" w:space="0"/>
            </w:tcBorders>
            <w:vAlign w:val="center"/>
          </w:tcPr>
          <w:p>
            <w:pPr>
              <w:widowControl/>
              <w:jc w:val="left"/>
              <w:rPr>
                <w:rFonts w:ascii="Times New Roman" w:hAnsi="Times New Roman"/>
                <w:kern w:val="0"/>
                <w:szCs w:val="21"/>
                <w:highlight w:val="none"/>
              </w:rPr>
            </w:pPr>
          </w:p>
        </w:tc>
        <w:tc>
          <w:tcPr>
            <w:tcW w:w="1417" w:type="dxa"/>
            <w:tcBorders>
              <w:top w:val="nil"/>
              <w:left w:val="nil"/>
              <w:bottom w:val="single" w:color="auto" w:sz="4" w:space="0"/>
              <w:right w:val="single" w:color="auto" w:sz="4" w:space="0"/>
            </w:tcBorders>
            <w:vAlign w:val="center"/>
          </w:tcPr>
          <w:p>
            <w:pPr>
              <w:widowControl/>
              <w:jc w:val="left"/>
              <w:rPr>
                <w:rFonts w:ascii="Times New Roman" w:hAnsi="Times New Roman"/>
                <w:kern w:val="0"/>
                <w:szCs w:val="21"/>
                <w:highlight w:val="none"/>
              </w:rPr>
            </w:pPr>
          </w:p>
        </w:tc>
        <w:tc>
          <w:tcPr>
            <w:tcW w:w="1701" w:type="dxa"/>
            <w:tcBorders>
              <w:top w:val="nil"/>
              <w:left w:val="nil"/>
              <w:bottom w:val="single" w:color="auto" w:sz="4" w:space="0"/>
              <w:right w:val="single" w:color="auto" w:sz="4" w:space="0"/>
            </w:tcBorders>
            <w:vAlign w:val="center"/>
          </w:tcPr>
          <w:p>
            <w:pPr>
              <w:widowControl/>
              <w:jc w:val="left"/>
              <w:rPr>
                <w:rFonts w:ascii="Times New Roman" w:hAnsi="Times New Roman"/>
                <w:kern w:val="0"/>
                <w:szCs w:val="21"/>
                <w:highlight w:val="none"/>
              </w:rPr>
            </w:pPr>
          </w:p>
        </w:tc>
        <w:tc>
          <w:tcPr>
            <w:tcW w:w="1276" w:type="dxa"/>
            <w:tcBorders>
              <w:top w:val="nil"/>
              <w:left w:val="nil"/>
              <w:bottom w:val="single" w:color="auto" w:sz="4" w:space="0"/>
              <w:right w:val="single" w:color="auto" w:sz="4" w:space="0"/>
            </w:tcBorders>
          </w:tcPr>
          <w:p>
            <w:pPr>
              <w:widowControl/>
              <w:jc w:val="left"/>
              <w:rPr>
                <w:rFonts w:ascii="Times New Roman" w:hAnsi="Times New Roman"/>
                <w:kern w:val="0"/>
                <w:szCs w:val="21"/>
                <w:highlight w:val="none"/>
              </w:rPr>
            </w:pPr>
          </w:p>
        </w:tc>
      </w:tr>
      <w:tr>
        <w:tblPrEx>
          <w:tblCellMar>
            <w:top w:w="0" w:type="dxa"/>
            <w:left w:w="108" w:type="dxa"/>
            <w:bottom w:w="0" w:type="dxa"/>
            <w:right w:w="108" w:type="dxa"/>
          </w:tblCellMar>
        </w:tblPrEx>
        <w:trPr>
          <w:trHeight w:val="405" w:hRule="atLeast"/>
        </w:trPr>
        <w:tc>
          <w:tcPr>
            <w:tcW w:w="5812" w:type="dxa"/>
            <w:gridSpan w:val="5"/>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kern w:val="0"/>
                <w:szCs w:val="21"/>
                <w:highlight w:val="none"/>
              </w:rPr>
            </w:pPr>
            <w:r>
              <w:rPr>
                <w:rFonts w:hint="eastAsia" w:ascii="Times New Roman" w:hAnsi="Times New Roman"/>
                <w:b/>
                <w:kern w:val="0"/>
                <w:szCs w:val="21"/>
                <w:highlight w:val="none"/>
              </w:rPr>
              <w:t>合计报价</w:t>
            </w:r>
          </w:p>
        </w:tc>
        <w:tc>
          <w:tcPr>
            <w:tcW w:w="1701" w:type="dxa"/>
            <w:tcBorders>
              <w:top w:val="single" w:color="auto" w:sz="4" w:space="0"/>
              <w:left w:val="nil"/>
              <w:bottom w:val="single" w:color="auto" w:sz="4" w:space="0"/>
              <w:right w:val="single" w:color="auto" w:sz="4" w:space="0"/>
            </w:tcBorders>
            <w:vAlign w:val="center"/>
          </w:tcPr>
          <w:p>
            <w:pPr>
              <w:widowControl/>
              <w:jc w:val="left"/>
              <w:rPr>
                <w:rFonts w:ascii="Times New Roman" w:hAnsi="Times New Roman"/>
                <w:kern w:val="0"/>
                <w:szCs w:val="21"/>
                <w:highlight w:val="none"/>
              </w:rPr>
            </w:pPr>
          </w:p>
        </w:tc>
        <w:tc>
          <w:tcPr>
            <w:tcW w:w="1276" w:type="dxa"/>
            <w:tcBorders>
              <w:top w:val="single" w:color="auto" w:sz="4" w:space="0"/>
              <w:left w:val="nil"/>
              <w:bottom w:val="single" w:color="auto" w:sz="4" w:space="0"/>
              <w:right w:val="single" w:color="auto" w:sz="4" w:space="0"/>
            </w:tcBorders>
          </w:tcPr>
          <w:p>
            <w:pPr>
              <w:widowControl/>
              <w:jc w:val="left"/>
              <w:rPr>
                <w:rFonts w:ascii="Times New Roman" w:hAnsi="Times New Roman"/>
                <w:kern w:val="0"/>
                <w:szCs w:val="21"/>
                <w:highlight w:val="none"/>
              </w:rPr>
            </w:pPr>
          </w:p>
        </w:tc>
      </w:tr>
    </w:tbl>
    <w:p>
      <w:pPr>
        <w:widowControl/>
        <w:ind w:right="105"/>
        <w:jc w:val="right"/>
        <w:rPr>
          <w:rFonts w:ascii="Times New Roman" w:hAnsi="Times New Roman"/>
          <w:kern w:val="0"/>
          <w:highlight w:val="none"/>
        </w:rPr>
      </w:pPr>
    </w:p>
    <w:p>
      <w:pPr>
        <w:spacing w:line="400" w:lineRule="exact"/>
        <w:ind w:firstLine="420" w:firstLineChars="200"/>
        <w:rPr>
          <w:rFonts w:ascii="Times New Roman" w:hAnsi="Times New Roman"/>
          <w:highlight w:val="none"/>
        </w:rPr>
      </w:pPr>
    </w:p>
    <w:p>
      <w:pPr>
        <w:widowControl/>
        <w:ind w:right="105"/>
        <w:jc w:val="left"/>
        <w:rPr>
          <w:rFonts w:ascii="Times New Roman" w:hAnsi="Times New Roman"/>
          <w:kern w:val="0"/>
          <w:highlight w:val="none"/>
        </w:rPr>
      </w:pPr>
    </w:p>
    <w:p>
      <w:pPr>
        <w:pStyle w:val="3"/>
        <w:spacing w:after="0"/>
        <w:jc w:val="center"/>
        <w:rPr>
          <w:rFonts w:ascii="Times New Roman" w:hAnsi="Times New Roman"/>
          <w:color w:val="000000"/>
          <w:highlight w:val="none"/>
        </w:rPr>
      </w:pPr>
      <w:r>
        <w:rPr>
          <w:rFonts w:ascii="Times New Roman" w:hAnsi="Times New Roman"/>
          <w:color w:val="000000"/>
          <w:highlight w:val="none"/>
        </w:rPr>
        <w:br w:type="page"/>
      </w:r>
      <w:bookmarkStart w:id="882" w:name="_Toc2034938537"/>
      <w:r>
        <w:rPr>
          <w:rFonts w:ascii="Times New Roman" w:hAnsi="Times New Roman"/>
          <w:color w:val="000000"/>
          <w:highlight w:val="none"/>
        </w:rPr>
        <w:t>七、资格审查资料</w:t>
      </w:r>
      <w:bookmarkEnd w:id="882"/>
    </w:p>
    <w:p>
      <w:pPr>
        <w:pStyle w:val="4"/>
        <w:spacing w:before="20" w:after="0"/>
        <w:ind w:firstLine="137"/>
        <w:rPr>
          <w:rFonts w:ascii="Times New Roman" w:hAnsi="Times New Roman"/>
          <w:color w:val="000000"/>
          <w:highlight w:val="none"/>
        </w:rPr>
      </w:pPr>
      <w:bookmarkStart w:id="883" w:name="_Toc185447641"/>
      <w:r>
        <w:rPr>
          <w:rFonts w:ascii="Times New Roman" w:hAnsi="Times New Roman"/>
          <w:color w:val="000000"/>
          <w:highlight w:val="none"/>
        </w:rPr>
        <w:t>（一）基本情况表</w:t>
      </w:r>
      <w:bookmarkEnd w:id="883"/>
    </w:p>
    <w:tbl>
      <w:tblPr>
        <w:tblStyle w:val="29"/>
        <w:tblW w:w="0" w:type="auto"/>
        <w:tblInd w:w="-17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4"/>
        <w:gridCol w:w="945"/>
        <w:gridCol w:w="2409"/>
        <w:gridCol w:w="1135"/>
        <w:gridCol w:w="226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color w:val="000000"/>
                <w:highlight w:val="none"/>
              </w:rPr>
            </w:pPr>
            <w:r>
              <w:rPr>
                <w:rFonts w:ascii="Times New Roman" w:hAnsi="Times New Roman"/>
                <w:color w:val="000000"/>
                <w:highlight w:val="none"/>
              </w:rPr>
              <w:t>投标人名称</w:t>
            </w:r>
          </w:p>
        </w:tc>
        <w:tc>
          <w:tcPr>
            <w:tcW w:w="6757"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color w:val="000000"/>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color w:val="000000"/>
                <w:highlight w:val="none"/>
              </w:rPr>
            </w:pPr>
            <w:r>
              <w:rPr>
                <w:rFonts w:ascii="Times New Roman" w:hAnsi="Times New Roman"/>
                <w:color w:val="000000"/>
                <w:highlight w:val="none"/>
              </w:rPr>
              <w:t>注册</w:t>
            </w:r>
            <w:r>
              <w:rPr>
                <w:rFonts w:ascii="Times New Roman" w:hAnsi="Times New Roman"/>
                <w:szCs w:val="21"/>
                <w:highlight w:val="none"/>
              </w:rPr>
              <w:t>资金</w:t>
            </w:r>
          </w:p>
        </w:tc>
        <w:tc>
          <w:tcPr>
            <w:tcW w:w="3354"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color w:val="000000"/>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color w:val="000000"/>
                <w:highlight w:val="none"/>
              </w:rPr>
            </w:pPr>
            <w:r>
              <w:rPr>
                <w:rFonts w:ascii="Times New Roman" w:hAnsi="Times New Roman"/>
                <w:szCs w:val="21"/>
                <w:highlight w:val="none"/>
              </w:rPr>
              <w:t>成立时间</w:t>
            </w:r>
          </w:p>
        </w:tc>
        <w:tc>
          <w:tcPr>
            <w:tcW w:w="226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color w:val="000000"/>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注册地址</w:t>
            </w:r>
          </w:p>
        </w:tc>
        <w:tc>
          <w:tcPr>
            <w:tcW w:w="6757"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邮政编码</w:t>
            </w:r>
          </w:p>
        </w:tc>
        <w:tc>
          <w:tcPr>
            <w:tcW w:w="3354"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员工总数</w:t>
            </w:r>
          </w:p>
        </w:tc>
        <w:tc>
          <w:tcPr>
            <w:tcW w:w="226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0" w:hRule="atLeast"/>
        </w:trPr>
        <w:tc>
          <w:tcPr>
            <w:tcW w:w="2174" w:type="dxa"/>
            <w:vMerge w:val="restart"/>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联系方式</w:t>
            </w:r>
          </w:p>
        </w:tc>
        <w:tc>
          <w:tcPr>
            <w:tcW w:w="945"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联系人</w:t>
            </w:r>
          </w:p>
        </w:tc>
        <w:tc>
          <w:tcPr>
            <w:tcW w:w="240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电话</w:t>
            </w:r>
          </w:p>
        </w:tc>
        <w:tc>
          <w:tcPr>
            <w:tcW w:w="226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0" w:hRule="atLeast"/>
        </w:trPr>
        <w:tc>
          <w:tcPr>
            <w:tcW w:w="217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highlight w:val="none"/>
              </w:rPr>
            </w:pPr>
          </w:p>
        </w:tc>
        <w:tc>
          <w:tcPr>
            <w:tcW w:w="945"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网址</w:t>
            </w:r>
          </w:p>
        </w:tc>
        <w:tc>
          <w:tcPr>
            <w:tcW w:w="240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传真</w:t>
            </w:r>
          </w:p>
        </w:tc>
        <w:tc>
          <w:tcPr>
            <w:tcW w:w="226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法定代表人</w:t>
            </w:r>
          </w:p>
          <w:p>
            <w:pPr>
              <w:topLinePunct/>
              <w:spacing w:line="440" w:lineRule="exact"/>
              <w:jc w:val="center"/>
              <w:rPr>
                <w:rFonts w:ascii="Times New Roman" w:hAnsi="Times New Roman"/>
                <w:szCs w:val="21"/>
                <w:highlight w:val="none"/>
              </w:rPr>
            </w:pPr>
            <w:r>
              <w:rPr>
                <w:rFonts w:ascii="Times New Roman" w:hAnsi="Times New Roman"/>
                <w:color w:val="000000"/>
                <w:highlight w:val="none"/>
              </w:rPr>
              <w:t>（单位负责人）</w:t>
            </w:r>
          </w:p>
        </w:tc>
        <w:tc>
          <w:tcPr>
            <w:tcW w:w="945"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姓名</w:t>
            </w:r>
          </w:p>
        </w:tc>
        <w:tc>
          <w:tcPr>
            <w:tcW w:w="240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电话</w:t>
            </w:r>
          </w:p>
        </w:tc>
        <w:tc>
          <w:tcPr>
            <w:tcW w:w="226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color w:val="000000"/>
                <w:highlight w:val="none"/>
              </w:rPr>
            </w:pPr>
            <w:r>
              <w:rPr>
                <w:rFonts w:ascii="Times New Roman" w:hAnsi="Times New Roman"/>
                <w:szCs w:val="21"/>
                <w:highlight w:val="none"/>
              </w:rPr>
              <w:t>投标人须知要求投标人需具有的各类资质证书</w:t>
            </w:r>
          </w:p>
        </w:tc>
        <w:tc>
          <w:tcPr>
            <w:tcW w:w="6757"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105" w:firstLineChars="50"/>
              <w:rPr>
                <w:rFonts w:ascii="Times New Roman" w:hAnsi="Times New Roman"/>
                <w:color w:val="000000"/>
                <w:highlight w:val="none"/>
              </w:rPr>
            </w:pPr>
            <w:r>
              <w:rPr>
                <w:rFonts w:hint="eastAsia" w:ascii="Times New Roman" w:hAnsi="Times New Roman"/>
                <w:highlight w:val="none"/>
              </w:rPr>
              <w:t>类型：</w:t>
            </w:r>
            <w:r>
              <w:rPr>
                <w:rFonts w:ascii="Times New Roman" w:hAnsi="Times New Roman"/>
                <w:highlight w:val="none"/>
              </w:rPr>
              <w:t xml:space="preserve">              </w:t>
            </w:r>
            <w:r>
              <w:rPr>
                <w:rFonts w:hint="eastAsia" w:ascii="Times New Roman" w:hAnsi="Times New Roman"/>
                <w:highlight w:val="none"/>
              </w:rPr>
              <w:t>等级：</w:t>
            </w:r>
            <w:r>
              <w:rPr>
                <w:rFonts w:ascii="Times New Roman" w:hAnsi="Times New Roman"/>
                <w:highlight w:val="none"/>
              </w:rPr>
              <w:t xml:space="preserve">      </w:t>
            </w:r>
            <w:r>
              <w:rPr>
                <w:rFonts w:hint="eastAsia" w:ascii="Times New Roman" w:hAnsi="Times New Roman"/>
                <w:highlight w:val="none"/>
              </w:rPr>
              <w:t xml:space="preserve">        证书号：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color w:val="000000"/>
                <w:highlight w:val="none"/>
              </w:rPr>
            </w:pPr>
            <w:r>
              <w:rPr>
                <w:rFonts w:ascii="Times New Roman" w:hAnsi="Times New Roman"/>
                <w:szCs w:val="21"/>
                <w:highlight w:val="none"/>
              </w:rPr>
              <w:t>基本账户开户银行</w:t>
            </w:r>
          </w:p>
        </w:tc>
        <w:tc>
          <w:tcPr>
            <w:tcW w:w="6757"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105" w:firstLineChars="50"/>
              <w:rPr>
                <w:rFonts w:ascii="Times New Roman" w:hAnsi="Times New Roman"/>
                <w:color w:val="000000"/>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基本账户银行账号</w:t>
            </w:r>
          </w:p>
        </w:tc>
        <w:tc>
          <w:tcPr>
            <w:tcW w:w="6757" w:type="dxa"/>
            <w:gridSpan w:val="4"/>
            <w:tcBorders>
              <w:top w:val="single" w:color="auto" w:sz="4" w:space="0"/>
              <w:left w:val="single" w:color="auto" w:sz="4" w:space="0"/>
              <w:right w:val="single" w:color="auto" w:sz="4" w:space="0"/>
            </w:tcBorders>
            <w:vAlign w:val="center"/>
          </w:tcPr>
          <w:p>
            <w:pPr>
              <w:topLinePunct/>
              <w:spacing w:line="440" w:lineRule="exact"/>
              <w:rPr>
                <w:rFonts w:ascii="Times New Roman" w:hAnsi="Times New Roman"/>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近三年营业额</w:t>
            </w:r>
          </w:p>
        </w:tc>
        <w:tc>
          <w:tcPr>
            <w:tcW w:w="6757" w:type="dxa"/>
            <w:gridSpan w:val="4"/>
            <w:tcBorders>
              <w:top w:val="single" w:color="auto" w:sz="4" w:space="0"/>
              <w:left w:val="single" w:color="auto" w:sz="4" w:space="0"/>
              <w:right w:val="single" w:color="auto" w:sz="4" w:space="0"/>
            </w:tcBorders>
            <w:vAlign w:val="center"/>
          </w:tcPr>
          <w:p>
            <w:pPr>
              <w:topLinePunct/>
              <w:spacing w:line="440" w:lineRule="exact"/>
              <w:rPr>
                <w:rFonts w:ascii="Times New Roman" w:hAnsi="Times New Roman"/>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投标人关联企业情况（包括但不限于与投标人法定代表人（单位负责人）为同一人或者存在控股、管理关系的不同单位）</w:t>
            </w:r>
          </w:p>
        </w:tc>
        <w:tc>
          <w:tcPr>
            <w:tcW w:w="6757" w:type="dxa"/>
            <w:gridSpan w:val="4"/>
            <w:tcBorders>
              <w:top w:val="single" w:color="auto" w:sz="4" w:space="0"/>
              <w:left w:val="single" w:color="auto" w:sz="4" w:space="0"/>
              <w:right w:val="single" w:color="auto" w:sz="4" w:space="0"/>
            </w:tcBorders>
            <w:vAlign w:val="center"/>
          </w:tcPr>
          <w:p>
            <w:pPr>
              <w:topLinePunct/>
              <w:spacing w:line="440" w:lineRule="exact"/>
              <w:rPr>
                <w:rFonts w:ascii="Times New Roman" w:hAnsi="Times New Roman"/>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投标材料制造商名称</w:t>
            </w:r>
          </w:p>
        </w:tc>
        <w:tc>
          <w:tcPr>
            <w:tcW w:w="6757" w:type="dxa"/>
            <w:gridSpan w:val="4"/>
            <w:tcBorders>
              <w:top w:val="single" w:color="auto" w:sz="4" w:space="0"/>
              <w:left w:val="single" w:color="auto" w:sz="4" w:space="0"/>
              <w:right w:val="single" w:color="auto" w:sz="4" w:space="0"/>
            </w:tcBorders>
            <w:vAlign w:val="center"/>
          </w:tcPr>
          <w:p>
            <w:pPr>
              <w:topLinePunct/>
              <w:spacing w:line="440" w:lineRule="exact"/>
              <w:rPr>
                <w:rFonts w:ascii="Times New Roman" w:hAnsi="Times New Roman"/>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投标人须知要求</w:t>
            </w:r>
          </w:p>
          <w:p>
            <w:pPr>
              <w:topLinePunct/>
              <w:spacing w:line="440" w:lineRule="exact"/>
              <w:jc w:val="center"/>
              <w:rPr>
                <w:rFonts w:ascii="Times New Roman" w:hAnsi="Times New Roman"/>
                <w:szCs w:val="21"/>
                <w:highlight w:val="none"/>
              </w:rPr>
            </w:pPr>
            <w:r>
              <w:rPr>
                <w:rFonts w:ascii="Times New Roman" w:hAnsi="Times New Roman"/>
                <w:szCs w:val="21"/>
                <w:highlight w:val="none"/>
              </w:rPr>
              <w:t>投标材料制造商需具有的资质证书</w:t>
            </w:r>
          </w:p>
        </w:tc>
        <w:tc>
          <w:tcPr>
            <w:tcW w:w="6757" w:type="dxa"/>
            <w:gridSpan w:val="4"/>
            <w:tcBorders>
              <w:top w:val="single" w:color="auto" w:sz="4" w:space="0"/>
              <w:left w:val="single" w:color="auto" w:sz="4" w:space="0"/>
              <w:right w:val="single" w:color="auto" w:sz="4" w:space="0"/>
            </w:tcBorders>
            <w:vAlign w:val="center"/>
          </w:tcPr>
          <w:p>
            <w:pPr>
              <w:topLinePunct/>
              <w:spacing w:line="440" w:lineRule="exact"/>
              <w:rPr>
                <w:rFonts w:ascii="Times New Roman" w:hAnsi="Times New Roman"/>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备注</w:t>
            </w:r>
          </w:p>
        </w:tc>
        <w:tc>
          <w:tcPr>
            <w:tcW w:w="6757"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szCs w:val="21"/>
                <w:highlight w:val="none"/>
              </w:rPr>
            </w:pPr>
          </w:p>
        </w:tc>
      </w:tr>
    </w:tbl>
    <w:p>
      <w:pPr>
        <w:spacing w:line="400" w:lineRule="exact"/>
        <w:rPr>
          <w:rFonts w:ascii="Times New Roman" w:hAnsi="Times New Roman"/>
          <w:color w:val="000000"/>
          <w:highlight w:val="none"/>
        </w:rPr>
      </w:pPr>
      <w:r>
        <w:rPr>
          <w:rFonts w:ascii="Times New Roman" w:hAnsi="Times New Roman"/>
          <w:color w:val="000000"/>
          <w:highlight w:val="none"/>
        </w:rPr>
        <w:t>注：1. 投标人应根据投标人须知第3.5.1项的要求在本表后附相关证明材料。境内投标人以现金或者支票形式提交投标保证金的，还应附基本账户开户许可证</w:t>
      </w:r>
      <w:r>
        <w:rPr>
          <w:rFonts w:hint="eastAsia" w:ascii="Times New Roman" w:hAnsi="Times New Roman"/>
          <w:color w:val="000000"/>
          <w:highlight w:val="none"/>
          <w:lang w:val="en-US" w:eastAsia="zh-CN"/>
        </w:rPr>
        <w:t>扫描</w:t>
      </w:r>
      <w:r>
        <w:rPr>
          <w:rFonts w:ascii="Times New Roman" w:hAnsi="Times New Roman"/>
          <w:color w:val="000000"/>
          <w:highlight w:val="none"/>
        </w:rPr>
        <w:t>件。</w:t>
      </w:r>
    </w:p>
    <w:p>
      <w:pPr>
        <w:spacing w:line="400" w:lineRule="exact"/>
        <w:ind w:firstLine="420" w:firstLineChars="200"/>
        <w:rPr>
          <w:rFonts w:ascii="Times New Roman" w:hAnsi="Times New Roman"/>
          <w:color w:val="000000"/>
          <w:highlight w:val="none"/>
        </w:rPr>
      </w:pPr>
      <w:r>
        <w:rPr>
          <w:rFonts w:ascii="Times New Roman" w:hAnsi="Times New Roman"/>
          <w:color w:val="000000"/>
          <w:highlight w:val="none"/>
        </w:rPr>
        <w:t xml:space="preserve">2. </w:t>
      </w:r>
      <w:r>
        <w:rPr>
          <w:rFonts w:hint="eastAsia" w:ascii="Times New Roman" w:hAnsi="Times New Roman"/>
          <w:color w:val="000000"/>
          <w:highlight w:val="none"/>
        </w:rPr>
        <w:t>如果</w:t>
      </w:r>
      <w:r>
        <w:rPr>
          <w:rFonts w:ascii="Times New Roman" w:hAnsi="Times New Roman"/>
          <w:color w:val="000000"/>
          <w:highlight w:val="none"/>
        </w:rPr>
        <w:t>投标人须知第1.4.1项对投标材料制造商的资质提出了要求，投标人应根据投标人须知第3.5.1项的要求在本表后附相关资质证书</w:t>
      </w:r>
      <w:r>
        <w:rPr>
          <w:rFonts w:hint="eastAsia" w:ascii="Times New Roman" w:hAnsi="Times New Roman"/>
          <w:color w:val="000000"/>
          <w:highlight w:val="none"/>
          <w:lang w:val="en-US" w:eastAsia="zh-CN"/>
        </w:rPr>
        <w:t>扫描</w:t>
      </w:r>
      <w:r>
        <w:rPr>
          <w:rFonts w:ascii="Times New Roman" w:hAnsi="Times New Roman"/>
          <w:color w:val="000000"/>
          <w:highlight w:val="none"/>
        </w:rPr>
        <w:t>件。</w:t>
      </w:r>
    </w:p>
    <w:p>
      <w:pPr>
        <w:spacing w:line="440" w:lineRule="exact"/>
        <w:rPr>
          <w:rFonts w:ascii="Times New Roman" w:hAnsi="Times New Roman"/>
          <w:color w:val="000000"/>
          <w:highlight w:val="none"/>
          <w:u w:val="single"/>
        </w:rPr>
      </w:pPr>
    </w:p>
    <w:p>
      <w:pPr>
        <w:spacing w:line="440" w:lineRule="exact"/>
        <w:rPr>
          <w:rFonts w:ascii="Times New Roman" w:hAnsi="Times New Roman"/>
          <w:sz w:val="20"/>
          <w:highlight w:val="none"/>
        </w:rPr>
      </w:pPr>
      <w:r>
        <w:rPr>
          <w:rFonts w:ascii="Times New Roman" w:hAnsi="Times New Roman"/>
          <w:color w:val="000000"/>
          <w:highlight w:val="none"/>
        </w:rPr>
        <w:br w:type="page"/>
      </w:r>
    </w:p>
    <w:p>
      <w:pPr>
        <w:pStyle w:val="4"/>
        <w:ind w:firstLine="137"/>
        <w:rPr>
          <w:rFonts w:ascii="Times New Roman" w:hAnsi="Times New Roman"/>
          <w:highlight w:val="none"/>
        </w:rPr>
      </w:pPr>
      <w:bookmarkStart w:id="884" w:name="_Toc147430345"/>
      <w:r>
        <w:rPr>
          <w:rFonts w:ascii="Times New Roman" w:hAnsi="Times New Roman"/>
          <w:highlight w:val="none"/>
        </w:rPr>
        <w:t>（二）近年财务状况表</w:t>
      </w:r>
      <w:bookmarkEnd w:id="884"/>
    </w:p>
    <w:p>
      <w:pPr>
        <w:topLinePunct/>
        <w:spacing w:line="440" w:lineRule="exact"/>
        <w:ind w:firstLine="420" w:firstLineChars="200"/>
        <w:rPr>
          <w:rFonts w:ascii="Times New Roman" w:hAnsi="Times New Roman"/>
          <w:color w:val="000000"/>
          <w:highlight w:val="none"/>
        </w:rPr>
      </w:pPr>
      <w:r>
        <w:rPr>
          <w:rFonts w:ascii="Times New Roman" w:hAnsi="Times New Roman"/>
          <w:color w:val="000000"/>
          <w:highlight w:val="none"/>
        </w:rPr>
        <w:t>1. 投标人应根据投标人须知第3.5.2项的要求在本表后附相关证明材料。</w:t>
      </w:r>
    </w:p>
    <w:p>
      <w:pPr>
        <w:topLinePunct/>
        <w:spacing w:line="440" w:lineRule="exact"/>
        <w:ind w:firstLine="420" w:firstLineChars="200"/>
        <w:rPr>
          <w:rFonts w:ascii="Times New Roman" w:hAnsi="Times New Roman"/>
          <w:color w:val="000000"/>
          <w:highlight w:val="none"/>
        </w:rPr>
      </w:pPr>
      <w:r>
        <w:rPr>
          <w:rFonts w:ascii="Times New Roman" w:hAnsi="Times New Roman"/>
          <w:color w:val="000000"/>
          <w:highlight w:val="none"/>
        </w:rPr>
        <w:t xml:space="preserve">2. </w:t>
      </w:r>
      <w:r>
        <w:rPr>
          <w:rFonts w:hint="eastAsia" w:ascii="Times New Roman" w:hAnsi="Times New Roman"/>
          <w:color w:val="000000"/>
          <w:highlight w:val="none"/>
        </w:rPr>
        <w:t>对于</w:t>
      </w:r>
      <w:r>
        <w:rPr>
          <w:rFonts w:ascii="Times New Roman" w:hAnsi="Times New Roman"/>
          <w:color w:val="000000"/>
          <w:highlight w:val="none"/>
        </w:rPr>
        <w:t>可以现货供应的</w:t>
      </w:r>
      <w:r>
        <w:rPr>
          <w:rFonts w:hint="eastAsia" w:ascii="Times New Roman" w:hAnsi="Times New Roman"/>
          <w:color w:val="000000"/>
          <w:highlight w:val="none"/>
        </w:rPr>
        <w:t>标准材料（</w:t>
      </w:r>
      <w:r>
        <w:rPr>
          <w:rFonts w:ascii="Times New Roman" w:hAnsi="Times New Roman"/>
          <w:color w:val="000000"/>
          <w:highlight w:val="none"/>
        </w:rPr>
        <w:t>非定制材料</w:t>
      </w:r>
      <w:r>
        <w:rPr>
          <w:rFonts w:hint="eastAsia" w:ascii="Times New Roman" w:hAnsi="Times New Roman"/>
          <w:color w:val="000000"/>
          <w:highlight w:val="none"/>
        </w:rPr>
        <w:t>）</w:t>
      </w:r>
      <w:r>
        <w:rPr>
          <w:rFonts w:ascii="Times New Roman" w:hAnsi="Times New Roman"/>
          <w:color w:val="000000"/>
          <w:highlight w:val="none"/>
        </w:rPr>
        <w:t>，投标人的财务状况一般不宜作为审查投标人履约能力的因素。</w:t>
      </w:r>
    </w:p>
    <w:p>
      <w:pPr>
        <w:topLinePunct/>
        <w:spacing w:line="440" w:lineRule="exact"/>
        <w:ind w:firstLine="420" w:firstLineChars="200"/>
        <w:rPr>
          <w:rFonts w:ascii="Times New Roman" w:hAnsi="Times New Roman"/>
          <w:sz w:val="20"/>
          <w:highlight w:val="none"/>
        </w:rPr>
      </w:pPr>
      <w:r>
        <w:rPr>
          <w:rFonts w:ascii="Times New Roman" w:hAnsi="Times New Roman"/>
          <w:color w:val="000000"/>
          <w:highlight w:val="none"/>
        </w:rPr>
        <w:br w:type="page"/>
      </w:r>
    </w:p>
    <w:p>
      <w:pPr>
        <w:pStyle w:val="4"/>
        <w:ind w:firstLine="137"/>
        <w:rPr>
          <w:rFonts w:ascii="Times New Roman" w:hAnsi="Times New Roman"/>
          <w:highlight w:val="none"/>
        </w:rPr>
      </w:pPr>
      <w:bookmarkStart w:id="885" w:name="_Toc1402664782"/>
      <w:r>
        <w:rPr>
          <w:rFonts w:ascii="Times New Roman" w:hAnsi="Times New Roman"/>
          <w:highlight w:val="none"/>
        </w:rPr>
        <w:t>（三）近年完成的类似项目情况表</w:t>
      </w:r>
      <w:bookmarkEnd w:id="885"/>
    </w:p>
    <w:tbl>
      <w:tblPr>
        <w:tblStyle w:val="2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材料名称</w:t>
            </w:r>
          </w:p>
        </w:tc>
        <w:tc>
          <w:tcPr>
            <w:tcW w:w="6253" w:type="dxa"/>
          </w:tcPr>
          <w:p>
            <w:pPr>
              <w:topLinePunct/>
              <w:spacing w:line="440" w:lineRule="exact"/>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269" w:type="dxa"/>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规格和型号</w:t>
            </w:r>
          </w:p>
        </w:tc>
        <w:tc>
          <w:tcPr>
            <w:tcW w:w="6253" w:type="dxa"/>
          </w:tcPr>
          <w:p>
            <w:pPr>
              <w:topLinePunct/>
              <w:spacing w:line="440" w:lineRule="exact"/>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269" w:type="dxa"/>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项目名称</w:t>
            </w:r>
          </w:p>
        </w:tc>
        <w:tc>
          <w:tcPr>
            <w:tcW w:w="6253" w:type="dxa"/>
          </w:tcPr>
          <w:p>
            <w:pPr>
              <w:topLinePunct/>
              <w:spacing w:line="440" w:lineRule="exact"/>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269" w:type="dxa"/>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买方名称</w:t>
            </w:r>
          </w:p>
        </w:tc>
        <w:tc>
          <w:tcPr>
            <w:tcW w:w="6253" w:type="dxa"/>
          </w:tcPr>
          <w:p>
            <w:pPr>
              <w:topLinePunct/>
              <w:spacing w:line="440" w:lineRule="exact"/>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269" w:type="dxa"/>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买方联系人及电话</w:t>
            </w:r>
          </w:p>
        </w:tc>
        <w:tc>
          <w:tcPr>
            <w:tcW w:w="6253" w:type="dxa"/>
          </w:tcPr>
          <w:p>
            <w:pPr>
              <w:topLinePunct/>
              <w:spacing w:line="440" w:lineRule="exact"/>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269" w:type="dxa"/>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合同价格</w:t>
            </w:r>
          </w:p>
        </w:tc>
        <w:tc>
          <w:tcPr>
            <w:tcW w:w="6253" w:type="dxa"/>
          </w:tcPr>
          <w:p>
            <w:pPr>
              <w:topLinePunct/>
              <w:spacing w:line="440" w:lineRule="exact"/>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269" w:type="dxa"/>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项目概况及投标人履约情况</w:t>
            </w:r>
          </w:p>
        </w:tc>
        <w:tc>
          <w:tcPr>
            <w:tcW w:w="6253" w:type="dxa"/>
          </w:tcPr>
          <w:p>
            <w:pPr>
              <w:topLinePunct/>
              <w:spacing w:line="440" w:lineRule="exact"/>
              <w:rPr>
                <w:rFonts w:ascii="Times New Roman" w:hAnsi="Times New Roman"/>
                <w:highlight w:val="none"/>
              </w:rPr>
            </w:pPr>
          </w:p>
          <w:p>
            <w:pPr>
              <w:topLinePunct/>
              <w:spacing w:line="440" w:lineRule="exact"/>
              <w:rPr>
                <w:rFonts w:ascii="Times New Roman" w:hAnsi="Times New Roman"/>
                <w:highlight w:val="none"/>
              </w:rPr>
            </w:pPr>
          </w:p>
          <w:p>
            <w:pPr>
              <w:topLinePunct/>
              <w:spacing w:line="440" w:lineRule="exact"/>
              <w:rPr>
                <w:rFonts w:ascii="Times New Roman" w:hAnsi="Times New Roman"/>
                <w:highlight w:val="none"/>
              </w:rPr>
            </w:pPr>
          </w:p>
          <w:p>
            <w:pPr>
              <w:topLinePunct/>
              <w:spacing w:line="440" w:lineRule="exact"/>
              <w:rPr>
                <w:rFonts w:ascii="Times New Roman" w:hAnsi="Times New Roman"/>
                <w:highlight w:val="none"/>
              </w:rPr>
            </w:pPr>
          </w:p>
          <w:p>
            <w:pPr>
              <w:topLinePunct/>
              <w:spacing w:line="440" w:lineRule="exact"/>
              <w:rPr>
                <w:rFonts w:ascii="Times New Roman" w:hAnsi="Times New Roman"/>
                <w:highlight w:val="none"/>
              </w:rPr>
            </w:pPr>
          </w:p>
          <w:p>
            <w:pPr>
              <w:topLinePunct/>
              <w:spacing w:line="440" w:lineRule="exact"/>
              <w:rPr>
                <w:rFonts w:ascii="Times New Roman" w:hAnsi="Times New Roman"/>
                <w:highlight w:val="none"/>
              </w:rPr>
            </w:pPr>
          </w:p>
          <w:p>
            <w:pPr>
              <w:topLinePunct/>
              <w:spacing w:line="440" w:lineRule="exact"/>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269" w:type="dxa"/>
            <w:vAlign w:val="center"/>
          </w:tcPr>
          <w:p>
            <w:pPr>
              <w:topLinePunct/>
              <w:spacing w:line="440" w:lineRule="exact"/>
              <w:jc w:val="center"/>
              <w:rPr>
                <w:rFonts w:ascii="Times New Roman" w:hAnsi="Times New Roman"/>
                <w:szCs w:val="21"/>
                <w:highlight w:val="none"/>
              </w:rPr>
            </w:pPr>
            <w:r>
              <w:rPr>
                <w:rFonts w:ascii="Times New Roman" w:hAnsi="Times New Roman"/>
                <w:szCs w:val="21"/>
                <w:highlight w:val="none"/>
              </w:rPr>
              <w:t>备注</w:t>
            </w:r>
          </w:p>
        </w:tc>
        <w:tc>
          <w:tcPr>
            <w:tcW w:w="6253" w:type="dxa"/>
          </w:tcPr>
          <w:p>
            <w:pPr>
              <w:topLinePunct/>
              <w:spacing w:line="440" w:lineRule="exact"/>
              <w:rPr>
                <w:rFonts w:ascii="Times New Roman" w:hAnsi="Times New Roman"/>
                <w:highlight w:val="none"/>
              </w:rPr>
            </w:pPr>
          </w:p>
        </w:tc>
      </w:tr>
    </w:tbl>
    <w:p>
      <w:pPr>
        <w:spacing w:line="440" w:lineRule="exact"/>
        <w:rPr>
          <w:rFonts w:ascii="Times New Roman" w:hAnsi="Times New Roman"/>
          <w:highlight w:val="none"/>
        </w:rPr>
      </w:pPr>
      <w:r>
        <w:rPr>
          <w:rFonts w:ascii="Times New Roman" w:hAnsi="Times New Roman"/>
          <w:highlight w:val="none"/>
        </w:rPr>
        <w:t xml:space="preserve">注：1. </w:t>
      </w:r>
      <w:r>
        <w:rPr>
          <w:rFonts w:ascii="Times New Roman" w:hAnsi="Times New Roman"/>
          <w:color w:val="000000"/>
          <w:highlight w:val="none"/>
        </w:rPr>
        <w:t>投标人应根据投标人须知第3.5.3项的要求在本表后附相关证明材料。</w:t>
      </w:r>
    </w:p>
    <w:p>
      <w:pPr>
        <w:spacing w:line="440" w:lineRule="exact"/>
        <w:ind w:firstLine="420" w:firstLineChars="200"/>
        <w:rPr>
          <w:rFonts w:ascii="Times New Roman" w:hAnsi="Times New Roman"/>
          <w:highlight w:val="none"/>
        </w:rPr>
      </w:pPr>
      <w:r>
        <w:rPr>
          <w:rFonts w:ascii="Times New Roman" w:hAnsi="Times New Roman"/>
          <w:highlight w:val="none"/>
        </w:rPr>
        <w:t>2. 投标人为代理经销商的，投标人须知第1.4.1项要求投标人提供投标材料的业绩的，投标人应按照上表的格式提供投标材料的业绩情况并</w:t>
      </w:r>
      <w:r>
        <w:rPr>
          <w:rFonts w:hint="eastAsia" w:ascii="Times New Roman" w:hAnsi="Times New Roman"/>
          <w:highlight w:val="none"/>
        </w:rPr>
        <w:t>根据</w:t>
      </w:r>
      <w:r>
        <w:rPr>
          <w:rFonts w:ascii="Times New Roman" w:hAnsi="Times New Roman"/>
          <w:highlight w:val="none"/>
        </w:rPr>
        <w:t>投标人须知第3.5.3项的</w:t>
      </w:r>
      <w:r>
        <w:rPr>
          <w:rFonts w:hint="eastAsia" w:ascii="Times New Roman" w:hAnsi="Times New Roman"/>
          <w:highlight w:val="none"/>
        </w:rPr>
        <w:t>要求</w:t>
      </w:r>
      <w:r>
        <w:rPr>
          <w:rFonts w:ascii="Times New Roman" w:hAnsi="Times New Roman"/>
          <w:highlight w:val="none"/>
        </w:rPr>
        <w:t>在本表后附相关证明材料。</w:t>
      </w:r>
    </w:p>
    <w:p>
      <w:pPr>
        <w:spacing w:line="440" w:lineRule="exact"/>
        <w:rPr>
          <w:rFonts w:ascii="Times New Roman" w:hAnsi="Times New Roman"/>
          <w:highlight w:val="none"/>
        </w:rPr>
      </w:pPr>
    </w:p>
    <w:p>
      <w:pPr>
        <w:spacing w:line="440" w:lineRule="exact"/>
        <w:rPr>
          <w:rFonts w:ascii="Times New Roman" w:hAnsi="Times New Roman"/>
          <w:highlight w:val="none"/>
        </w:rPr>
      </w:pPr>
    </w:p>
    <w:p>
      <w:pPr>
        <w:topLinePunct/>
        <w:spacing w:line="440" w:lineRule="exact"/>
        <w:rPr>
          <w:rFonts w:ascii="Times New Roman" w:hAnsi="Times New Roman"/>
          <w:highlight w:val="none"/>
        </w:rPr>
      </w:pPr>
      <w:r>
        <w:rPr>
          <w:rFonts w:ascii="Times New Roman" w:hAnsi="Times New Roman"/>
          <w:highlight w:val="none"/>
        </w:rPr>
        <w:br w:type="page"/>
      </w:r>
    </w:p>
    <w:bookmarkEnd w:id="881"/>
    <w:p>
      <w:pPr>
        <w:pStyle w:val="4"/>
        <w:spacing w:line="440" w:lineRule="exact"/>
        <w:ind w:firstLine="137"/>
        <w:rPr>
          <w:rFonts w:ascii="Times New Roman" w:hAnsi="Times New Roman"/>
          <w:color w:val="000000"/>
          <w:highlight w:val="none"/>
        </w:rPr>
      </w:pPr>
      <w:bookmarkStart w:id="886" w:name="_Toc1928867940"/>
      <w:r>
        <w:rPr>
          <w:rFonts w:ascii="Times New Roman" w:hAnsi="Times New Roman"/>
          <w:color w:val="000000"/>
          <w:highlight w:val="none"/>
        </w:rPr>
        <w:t>（</w:t>
      </w:r>
      <w:r>
        <w:rPr>
          <w:rFonts w:hint="eastAsia" w:ascii="Times New Roman" w:hAnsi="Times New Roman"/>
          <w:color w:val="000000"/>
          <w:highlight w:val="none"/>
          <w:lang w:val="en-US" w:eastAsia="zh-CN"/>
        </w:rPr>
        <w:t>四</w:t>
      </w:r>
      <w:r>
        <w:rPr>
          <w:rFonts w:ascii="Times New Roman" w:hAnsi="Times New Roman"/>
          <w:color w:val="000000"/>
          <w:highlight w:val="none"/>
        </w:rPr>
        <w:t>）近年发生的诉讼及仲裁情况</w:t>
      </w:r>
      <w:bookmarkEnd w:id="886"/>
    </w:p>
    <w:p>
      <w:pPr>
        <w:spacing w:line="440" w:lineRule="exact"/>
        <w:rPr>
          <w:rFonts w:ascii="Times New Roman" w:hAnsi="Times New Roman"/>
          <w:highlight w:val="none"/>
        </w:rPr>
      </w:pPr>
      <w:r>
        <w:rPr>
          <w:rFonts w:ascii="Times New Roman" w:hAnsi="Times New Roman"/>
          <w:highlight w:val="none"/>
        </w:rPr>
        <w:t>注：</w:t>
      </w:r>
      <w:r>
        <w:rPr>
          <w:rFonts w:ascii="Times New Roman" w:hAnsi="Times New Roman"/>
          <w:color w:val="000000"/>
          <w:highlight w:val="none"/>
        </w:rPr>
        <w:t>投标人应根据投标人须知第3.5.</w:t>
      </w:r>
      <w:r>
        <w:rPr>
          <w:rFonts w:hint="eastAsia" w:ascii="Times New Roman" w:hAnsi="Times New Roman"/>
          <w:color w:val="000000"/>
          <w:highlight w:val="none"/>
          <w:lang w:val="en-US" w:eastAsia="zh-CN"/>
        </w:rPr>
        <w:t>4</w:t>
      </w:r>
      <w:r>
        <w:rPr>
          <w:rFonts w:ascii="Times New Roman" w:hAnsi="Times New Roman"/>
          <w:color w:val="000000"/>
          <w:highlight w:val="none"/>
        </w:rPr>
        <w:t>项的要求附相关证明材料。</w:t>
      </w:r>
    </w:p>
    <w:p>
      <w:pPr>
        <w:pStyle w:val="4"/>
        <w:spacing w:line="440" w:lineRule="exact"/>
        <w:ind w:firstLine="137"/>
        <w:rPr>
          <w:rFonts w:ascii="Times New Roman" w:hAnsi="Times New Roman"/>
          <w:highlight w:val="none"/>
        </w:rPr>
      </w:pPr>
      <w:r>
        <w:rPr>
          <w:rFonts w:ascii="Times New Roman" w:hAnsi="Times New Roman"/>
          <w:highlight w:val="none"/>
        </w:rPr>
        <w:br w:type="page"/>
      </w:r>
      <w:bookmarkStart w:id="887" w:name="_Toc417894676"/>
      <w:bookmarkStart w:id="888" w:name="_Toc474741581"/>
      <w:bookmarkStart w:id="889" w:name="_Toc454639524"/>
      <w:bookmarkStart w:id="890" w:name="_Toc417894637"/>
      <w:r>
        <w:rPr>
          <w:rFonts w:ascii="Times New Roman" w:hAnsi="Times New Roman"/>
          <w:color w:val="000000"/>
          <w:highlight w:val="none"/>
        </w:rPr>
        <w:t>（</w:t>
      </w:r>
      <w:r>
        <w:rPr>
          <w:rFonts w:hint="eastAsia" w:ascii="Times New Roman" w:hAnsi="Times New Roman"/>
          <w:color w:val="000000"/>
          <w:highlight w:val="none"/>
          <w:lang w:val="en-US" w:eastAsia="zh-CN"/>
        </w:rPr>
        <w:t>五</w:t>
      </w:r>
      <w:r>
        <w:rPr>
          <w:rFonts w:ascii="Times New Roman" w:hAnsi="Times New Roman"/>
          <w:color w:val="000000"/>
          <w:highlight w:val="none"/>
        </w:rPr>
        <w:t>）制造商授权书</w:t>
      </w:r>
      <w:bookmarkEnd w:id="887"/>
      <w:bookmarkEnd w:id="888"/>
      <w:bookmarkEnd w:id="889"/>
      <w:bookmarkEnd w:id="890"/>
    </w:p>
    <w:p>
      <w:pPr>
        <w:spacing w:line="540" w:lineRule="exact"/>
        <w:ind w:left="1120" w:hanging="1120" w:hangingChars="400"/>
        <w:jc w:val="center"/>
        <w:rPr>
          <w:rFonts w:ascii="黑体" w:hAnsi="Times New Roman" w:eastAsia="黑体"/>
          <w:sz w:val="28"/>
          <w:szCs w:val="28"/>
          <w:highlight w:val="none"/>
        </w:rPr>
      </w:pPr>
      <w:r>
        <w:rPr>
          <w:rFonts w:hint="eastAsia" w:ascii="黑体" w:hAnsi="Times New Roman" w:eastAsia="黑体"/>
          <w:sz w:val="28"/>
          <w:szCs w:val="28"/>
          <w:highlight w:val="none"/>
        </w:rPr>
        <w:t>制造商授权书</w:t>
      </w:r>
    </w:p>
    <w:p>
      <w:pPr>
        <w:spacing w:line="540" w:lineRule="exact"/>
        <w:ind w:left="1120" w:hanging="1120" w:hangingChars="400"/>
        <w:jc w:val="center"/>
        <w:rPr>
          <w:rFonts w:ascii="Times New Roman" w:hAnsi="Times New Roman" w:eastAsia="经典粗黑简"/>
          <w:sz w:val="28"/>
          <w:szCs w:val="28"/>
          <w:highlight w:val="none"/>
        </w:rPr>
      </w:pPr>
    </w:p>
    <w:p>
      <w:pPr>
        <w:spacing w:line="440" w:lineRule="exact"/>
        <w:ind w:left="840" w:hanging="840"/>
        <w:rPr>
          <w:rFonts w:ascii="Times New Roman" w:hAnsi="Times New Roman"/>
          <w:highlight w:val="none"/>
        </w:rPr>
      </w:pPr>
      <w:r>
        <w:rPr>
          <w:rFonts w:ascii="Times New Roman" w:hAnsi="Times New Roman"/>
          <w:highlight w:val="none"/>
        </w:rPr>
        <w:t>致：</w:t>
      </w:r>
      <w:r>
        <w:rPr>
          <w:rFonts w:ascii="Times New Roman" w:hAnsi="Times New Roman"/>
          <w:color w:val="000000"/>
          <w:highlight w:val="none"/>
          <w:u w:val="single"/>
        </w:rPr>
        <w:t xml:space="preserve">              </w:t>
      </w:r>
      <w:r>
        <w:rPr>
          <w:rFonts w:ascii="Times New Roman" w:hAnsi="Times New Roman"/>
          <w:highlight w:val="none"/>
        </w:rPr>
        <w:t>（招标人）</w:t>
      </w:r>
    </w:p>
    <w:p>
      <w:pPr>
        <w:spacing w:line="440" w:lineRule="exact"/>
        <w:ind w:firstLine="420"/>
        <w:rPr>
          <w:rFonts w:ascii="Times New Roman" w:hAnsi="Times New Roman"/>
          <w:color w:val="000000"/>
          <w:highlight w:val="none"/>
        </w:rPr>
      </w:pPr>
      <w:r>
        <w:rPr>
          <w:rFonts w:ascii="Times New Roman" w:hAnsi="Times New Roman"/>
          <w:highlight w:val="none"/>
        </w:rPr>
        <w:t>我单位</w:t>
      </w:r>
      <w:r>
        <w:rPr>
          <w:rFonts w:ascii="Times New Roman" w:hAnsi="Times New Roman"/>
          <w:color w:val="000000"/>
          <w:highlight w:val="none"/>
          <w:u w:val="single"/>
        </w:rPr>
        <w:t xml:space="preserve">           </w:t>
      </w:r>
      <w:r>
        <w:rPr>
          <w:rFonts w:ascii="Times New Roman" w:hAnsi="Times New Roman"/>
          <w:highlight w:val="none"/>
        </w:rPr>
        <w:t>（制造商名称）是按</w:t>
      </w:r>
      <w:r>
        <w:rPr>
          <w:rFonts w:ascii="Times New Roman" w:hAnsi="Times New Roman"/>
          <w:color w:val="000000"/>
          <w:highlight w:val="none"/>
          <w:u w:val="single"/>
        </w:rPr>
        <w:t xml:space="preserve">              </w:t>
      </w:r>
      <w:r>
        <w:rPr>
          <w:rFonts w:ascii="Times New Roman" w:hAnsi="Times New Roman"/>
          <w:highlight w:val="none"/>
        </w:rPr>
        <w:t>（国家／地区名称）法律成立的一家制造商，主要营业地点设在</w:t>
      </w:r>
      <w:r>
        <w:rPr>
          <w:rFonts w:ascii="Times New Roman" w:hAnsi="Times New Roman"/>
          <w:color w:val="000000"/>
          <w:highlight w:val="none"/>
          <w:u w:val="single"/>
        </w:rPr>
        <w:t xml:space="preserve">             </w:t>
      </w:r>
      <w:r>
        <w:rPr>
          <w:rFonts w:ascii="Times New Roman" w:hAnsi="Times New Roman"/>
          <w:highlight w:val="none"/>
        </w:rPr>
        <w:t>（制造商地址）。兹授权按</w:t>
      </w:r>
      <w:r>
        <w:rPr>
          <w:rFonts w:ascii="Times New Roman" w:hAnsi="Times New Roman"/>
          <w:color w:val="000000"/>
          <w:highlight w:val="none"/>
          <w:u w:val="single"/>
        </w:rPr>
        <w:t xml:space="preserve">         </w:t>
      </w:r>
      <w:r>
        <w:rPr>
          <w:rFonts w:ascii="Times New Roman" w:hAnsi="Times New Roman"/>
          <w:highlight w:val="none"/>
        </w:rPr>
        <w:t>（国家／地区名称）的法律正式成立的，主要营业地点设在</w:t>
      </w:r>
      <w:r>
        <w:rPr>
          <w:rFonts w:ascii="Times New Roman" w:hAnsi="Times New Roman"/>
          <w:color w:val="000000"/>
          <w:highlight w:val="none"/>
          <w:u w:val="single"/>
        </w:rPr>
        <w:t xml:space="preserve">       </w:t>
      </w:r>
      <w:r>
        <w:rPr>
          <w:rFonts w:ascii="Times New Roman" w:hAnsi="Times New Roman"/>
          <w:highlight w:val="none"/>
        </w:rPr>
        <w:t>（投标人的单位地址）的</w:t>
      </w:r>
      <w:r>
        <w:rPr>
          <w:rFonts w:ascii="Times New Roman" w:hAnsi="Times New Roman"/>
          <w:color w:val="000000"/>
          <w:highlight w:val="none"/>
          <w:u w:val="single"/>
        </w:rPr>
        <w:t xml:space="preserve">              </w:t>
      </w:r>
      <w:r>
        <w:rPr>
          <w:rFonts w:ascii="Times New Roman" w:hAnsi="Times New Roman"/>
          <w:highlight w:val="none"/>
        </w:rPr>
        <w:t>（投标人名称）以我单位制造的</w:t>
      </w:r>
      <w:r>
        <w:rPr>
          <w:rFonts w:ascii="Times New Roman" w:hAnsi="Times New Roman"/>
          <w:color w:val="000000"/>
          <w:highlight w:val="none"/>
          <w:u w:val="single"/>
        </w:rPr>
        <w:t xml:space="preserve">            </w:t>
      </w:r>
      <w:r>
        <w:rPr>
          <w:rFonts w:ascii="Times New Roman" w:hAnsi="Times New Roman"/>
          <w:color w:val="000000"/>
          <w:highlight w:val="none"/>
        </w:rPr>
        <w:t>（材料名称）进行</w:t>
      </w:r>
      <w:r>
        <w:rPr>
          <w:rFonts w:ascii="Times New Roman" w:hAnsi="Times New Roman"/>
          <w:color w:val="000000"/>
          <w:highlight w:val="none"/>
          <w:u w:val="single"/>
        </w:rPr>
        <w:t xml:space="preserve">                 </w:t>
      </w:r>
      <w:r>
        <w:rPr>
          <w:rFonts w:ascii="Times New Roman" w:hAnsi="Times New Roman"/>
          <w:color w:val="000000"/>
          <w:highlight w:val="none"/>
        </w:rPr>
        <w:t>（项目名称）投标活动。我单位同意按照中标合同供货，并对产品质量承担责任。</w:t>
      </w:r>
    </w:p>
    <w:p>
      <w:pPr>
        <w:spacing w:line="440" w:lineRule="exact"/>
        <w:ind w:firstLine="420"/>
        <w:rPr>
          <w:rFonts w:ascii="Times New Roman" w:hAnsi="Times New Roman"/>
          <w:highlight w:val="none"/>
        </w:rPr>
      </w:pPr>
      <w:r>
        <w:rPr>
          <w:rFonts w:ascii="Times New Roman" w:hAnsi="Times New Roman"/>
          <w:highlight w:val="none"/>
        </w:rPr>
        <w:t>授权期限：</w:t>
      </w:r>
      <w:r>
        <w:rPr>
          <w:rFonts w:ascii="Times New Roman" w:hAnsi="Times New Roman"/>
          <w:color w:val="000000"/>
          <w:highlight w:val="none"/>
          <w:u w:val="single"/>
        </w:rPr>
        <w:t xml:space="preserve">                            </w:t>
      </w:r>
      <w:r>
        <w:rPr>
          <w:rFonts w:ascii="Times New Roman" w:hAnsi="Times New Roman"/>
          <w:color w:val="000000"/>
          <w:highlight w:val="none"/>
        </w:rPr>
        <w:t>。</w:t>
      </w:r>
    </w:p>
    <w:p>
      <w:pPr>
        <w:spacing w:line="440" w:lineRule="exact"/>
        <w:rPr>
          <w:rFonts w:ascii="Times New Roman" w:hAnsi="Times New Roman"/>
          <w:highlight w:val="none"/>
        </w:rPr>
      </w:pPr>
    </w:p>
    <w:p>
      <w:pPr>
        <w:spacing w:line="440" w:lineRule="exact"/>
        <w:rPr>
          <w:rFonts w:ascii="Times New Roman" w:hAnsi="Times New Roman"/>
          <w:highlight w:val="none"/>
        </w:rPr>
      </w:pPr>
    </w:p>
    <w:p>
      <w:pPr>
        <w:spacing w:line="440" w:lineRule="exact"/>
        <w:rPr>
          <w:rFonts w:ascii="Times New Roman" w:hAnsi="Times New Roman"/>
          <w:color w:val="000000"/>
          <w:highlight w:val="none"/>
          <w:u w:val="single"/>
        </w:rPr>
      </w:pPr>
      <w:r>
        <w:rPr>
          <w:rFonts w:ascii="Times New Roman" w:hAnsi="Times New Roman"/>
          <w:highlight w:val="none"/>
        </w:rPr>
        <w:t>投标人名称：</w:t>
      </w:r>
      <w:r>
        <w:rPr>
          <w:rFonts w:ascii="Times New Roman" w:hAnsi="Times New Roman"/>
          <w:color w:val="000000"/>
          <w:highlight w:val="none"/>
          <w:u w:val="single"/>
        </w:rPr>
        <w:t xml:space="preserve">              </w:t>
      </w:r>
      <w:r>
        <w:rPr>
          <w:rFonts w:hint="eastAsia" w:ascii="Times New Roman" w:hAnsi="Times New Roman"/>
          <w:color w:val="000000"/>
          <w:highlight w:val="none"/>
          <w:u w:val="single"/>
        </w:rPr>
        <w:t xml:space="preserve">  </w:t>
      </w:r>
      <w:r>
        <w:rPr>
          <w:rFonts w:hint="eastAsia" w:ascii="Times New Roman" w:hAnsi="Times New Roman"/>
          <w:color w:val="000000"/>
          <w:highlight w:val="none"/>
        </w:rPr>
        <w:t>（盖单位章）</w:t>
      </w:r>
      <w:r>
        <w:rPr>
          <w:rFonts w:ascii="Times New Roman" w:hAnsi="Times New Roman"/>
          <w:highlight w:val="none"/>
        </w:rPr>
        <w:t xml:space="preserve">  制造商名称：</w:t>
      </w:r>
      <w:r>
        <w:rPr>
          <w:rFonts w:ascii="Times New Roman" w:hAnsi="Times New Roman"/>
          <w:color w:val="000000"/>
          <w:highlight w:val="none"/>
          <w:u w:val="single"/>
        </w:rPr>
        <w:t xml:space="preserve">           </w:t>
      </w:r>
      <w:r>
        <w:rPr>
          <w:rFonts w:hint="eastAsia" w:ascii="Times New Roman" w:hAnsi="Times New Roman"/>
          <w:color w:val="000000"/>
          <w:highlight w:val="none"/>
          <w:u w:val="single"/>
        </w:rPr>
        <w:t xml:space="preserve">  </w:t>
      </w:r>
      <w:r>
        <w:rPr>
          <w:rFonts w:hint="eastAsia" w:ascii="Times New Roman" w:hAnsi="Times New Roman"/>
          <w:color w:val="000000"/>
          <w:highlight w:val="none"/>
        </w:rPr>
        <w:t>（盖单位章）</w:t>
      </w:r>
    </w:p>
    <w:p>
      <w:pPr>
        <w:spacing w:line="440" w:lineRule="exact"/>
        <w:rPr>
          <w:rFonts w:ascii="Times New Roman" w:hAnsi="Times New Roman"/>
          <w:highlight w:val="none"/>
        </w:rPr>
      </w:pPr>
      <w:r>
        <w:rPr>
          <w:rFonts w:ascii="Times New Roman" w:hAnsi="Times New Roman"/>
          <w:highlight w:val="none"/>
        </w:rPr>
        <w:t>签字人职务：</w:t>
      </w:r>
      <w:r>
        <w:rPr>
          <w:rFonts w:ascii="Times New Roman" w:hAnsi="Times New Roman"/>
          <w:color w:val="000000"/>
          <w:highlight w:val="none"/>
          <w:u w:val="single"/>
        </w:rPr>
        <w:t xml:space="preserve">                            </w:t>
      </w:r>
      <w:r>
        <w:rPr>
          <w:rFonts w:ascii="Times New Roman" w:hAnsi="Times New Roman"/>
          <w:highlight w:val="none"/>
        </w:rPr>
        <w:t xml:space="preserve">  签字人职务：</w:t>
      </w:r>
      <w:r>
        <w:rPr>
          <w:rFonts w:ascii="Times New Roman" w:hAnsi="Times New Roman"/>
          <w:color w:val="000000"/>
          <w:highlight w:val="none"/>
          <w:u w:val="single"/>
        </w:rPr>
        <w:t xml:space="preserve">                            </w:t>
      </w:r>
    </w:p>
    <w:p>
      <w:pPr>
        <w:spacing w:line="440" w:lineRule="exact"/>
        <w:ind w:left="840" w:hanging="840"/>
        <w:rPr>
          <w:rFonts w:ascii="Times New Roman" w:hAnsi="Times New Roman"/>
          <w:highlight w:val="none"/>
        </w:rPr>
      </w:pPr>
      <w:r>
        <w:rPr>
          <w:rFonts w:ascii="Times New Roman" w:hAnsi="Times New Roman"/>
          <w:highlight w:val="none"/>
        </w:rPr>
        <w:t>签字人姓名：</w:t>
      </w:r>
      <w:r>
        <w:rPr>
          <w:rFonts w:ascii="Times New Roman" w:hAnsi="Times New Roman"/>
          <w:color w:val="000000"/>
          <w:highlight w:val="none"/>
          <w:u w:val="single"/>
        </w:rPr>
        <w:t xml:space="preserve">                            </w:t>
      </w:r>
      <w:r>
        <w:rPr>
          <w:rFonts w:ascii="Times New Roman" w:hAnsi="Times New Roman"/>
          <w:highlight w:val="none"/>
        </w:rPr>
        <w:t xml:space="preserve">  签字人姓名：</w:t>
      </w:r>
      <w:r>
        <w:rPr>
          <w:rFonts w:ascii="Times New Roman" w:hAnsi="Times New Roman"/>
          <w:color w:val="000000"/>
          <w:highlight w:val="none"/>
          <w:u w:val="single"/>
        </w:rPr>
        <w:t xml:space="preserve">                            </w:t>
      </w:r>
    </w:p>
    <w:p>
      <w:pPr>
        <w:spacing w:line="440" w:lineRule="exact"/>
        <w:rPr>
          <w:rFonts w:ascii="Times New Roman" w:hAnsi="Times New Roman"/>
          <w:highlight w:val="none"/>
        </w:rPr>
      </w:pPr>
      <w:r>
        <w:rPr>
          <w:rFonts w:ascii="Times New Roman" w:hAnsi="Times New Roman"/>
          <w:highlight w:val="none"/>
        </w:rPr>
        <w:t>签字人签名：</w:t>
      </w:r>
      <w:r>
        <w:rPr>
          <w:rFonts w:ascii="Times New Roman" w:hAnsi="Times New Roman"/>
          <w:color w:val="000000"/>
          <w:highlight w:val="none"/>
          <w:u w:val="single"/>
        </w:rPr>
        <w:t xml:space="preserve">                            </w:t>
      </w:r>
      <w:r>
        <w:rPr>
          <w:rFonts w:ascii="Times New Roman" w:hAnsi="Times New Roman"/>
          <w:highlight w:val="none"/>
        </w:rPr>
        <w:t xml:space="preserve">  签字人签名：</w:t>
      </w:r>
      <w:r>
        <w:rPr>
          <w:rFonts w:ascii="Times New Roman" w:hAnsi="Times New Roman"/>
          <w:color w:val="000000"/>
          <w:highlight w:val="none"/>
          <w:u w:val="single"/>
        </w:rPr>
        <w:t xml:space="preserve">                            </w:t>
      </w:r>
    </w:p>
    <w:p>
      <w:pPr>
        <w:widowControl/>
        <w:jc w:val="left"/>
        <w:rPr>
          <w:rFonts w:ascii="Times New Roman" w:hAnsi="Times New Roman"/>
          <w:highlight w:val="none"/>
        </w:rPr>
      </w:pPr>
      <w:r>
        <w:rPr>
          <w:rFonts w:ascii="Times New Roman" w:hAnsi="Times New Roman"/>
          <w:highlight w:val="none"/>
        </w:rPr>
        <w:br w:type="page"/>
      </w:r>
    </w:p>
    <w:p>
      <w:pPr>
        <w:pStyle w:val="3"/>
        <w:spacing w:line="400" w:lineRule="exact"/>
        <w:jc w:val="center"/>
        <w:rPr>
          <w:rFonts w:ascii="Times New Roman" w:hAnsi="Times New Roman"/>
          <w:highlight w:val="none"/>
        </w:rPr>
      </w:pPr>
      <w:bookmarkStart w:id="891" w:name="_Toc1105929842"/>
      <w:r>
        <w:rPr>
          <w:rFonts w:hint="eastAsia" w:ascii="Times New Roman" w:hAnsi="Times New Roman"/>
          <w:highlight w:val="none"/>
        </w:rPr>
        <w:t>八</w:t>
      </w:r>
      <w:r>
        <w:rPr>
          <w:rFonts w:ascii="Times New Roman" w:hAnsi="Times New Roman"/>
          <w:highlight w:val="none"/>
        </w:rPr>
        <w:t>、其他资料</w:t>
      </w:r>
      <w:bookmarkEnd w:id="891"/>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pStyle w:val="20"/>
        <w:rPr>
          <w:rFonts w:ascii="Times New Roman" w:hAnsi="Times New Roman"/>
          <w:highlight w:val="none"/>
        </w:rPr>
      </w:pPr>
    </w:p>
    <w:p>
      <w:pPr>
        <w:rPr>
          <w:rFonts w:ascii="Times New Roman" w:hAnsi="Times New Roman"/>
          <w:highlight w:val="none"/>
        </w:rPr>
      </w:pPr>
    </w:p>
    <w:p>
      <w:pPr>
        <w:pStyle w:val="20"/>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widowControl/>
        <w:jc w:val="left"/>
        <w:rPr>
          <w:rFonts w:ascii="Times New Roman" w:hAnsi="Times New Roman"/>
          <w:color w:val="000000"/>
          <w:highlight w:val="none"/>
        </w:rPr>
      </w:pPr>
      <w:r>
        <w:rPr>
          <w:rFonts w:ascii="Times New Roman" w:hAnsi="Times New Roman"/>
          <w:color w:val="000000"/>
          <w:highlight w:val="none"/>
        </w:rPr>
        <w:br w:type="page"/>
      </w:r>
    </w:p>
    <w:p>
      <w:pPr>
        <w:jc w:val="center"/>
        <w:rPr>
          <w:rFonts w:ascii="Times New Roman" w:hAnsi="Times New Roman" w:eastAsia="黑体"/>
          <w:sz w:val="28"/>
          <w:szCs w:val="28"/>
          <w:highlight w:val="none"/>
          <w:u w:val="single"/>
        </w:rPr>
      </w:pPr>
    </w:p>
    <w:p>
      <w:pPr>
        <w:jc w:val="center"/>
        <w:rPr>
          <w:rFonts w:ascii="Times New Roman" w:hAnsi="Times New Roman" w:eastAsia="黑体"/>
          <w:sz w:val="28"/>
          <w:szCs w:val="28"/>
          <w:highlight w:val="none"/>
          <w:u w:val="single"/>
        </w:rPr>
      </w:pPr>
    </w:p>
    <w:p>
      <w:pPr>
        <w:jc w:val="center"/>
        <w:rPr>
          <w:rFonts w:ascii="Times New Roman" w:hAnsi="Times New Roman" w:eastAsia="黑体"/>
          <w:sz w:val="28"/>
          <w:szCs w:val="28"/>
          <w:highlight w:val="none"/>
          <w:u w:val="single"/>
        </w:rPr>
      </w:pPr>
    </w:p>
    <w:p>
      <w:pPr>
        <w:jc w:val="center"/>
        <w:rPr>
          <w:rFonts w:ascii="Times New Roman" w:hAnsi="Times New Roman" w:eastAsia="黑体"/>
          <w:sz w:val="28"/>
          <w:szCs w:val="28"/>
          <w:highlight w:val="none"/>
          <w:u w:val="single"/>
        </w:rPr>
      </w:pPr>
    </w:p>
    <w:p>
      <w:pPr>
        <w:jc w:val="center"/>
        <w:rPr>
          <w:rFonts w:ascii="Times New Roman" w:hAnsi="Times New Roman" w:eastAsia="黑体"/>
          <w:sz w:val="28"/>
          <w:szCs w:val="28"/>
          <w:highlight w:val="none"/>
        </w:rPr>
      </w:pPr>
      <w:r>
        <w:rPr>
          <w:rFonts w:ascii="Times New Roman" w:hAnsi="Times New Roman" w:eastAsia="黑体"/>
          <w:sz w:val="28"/>
          <w:szCs w:val="28"/>
          <w:highlight w:val="none"/>
          <w:u w:val="single"/>
        </w:rPr>
        <w:t xml:space="preserve">        </w:t>
      </w:r>
      <w:r>
        <w:rPr>
          <w:rFonts w:ascii="Times New Roman" w:hAnsi="Times New Roman" w:eastAsia="黑体"/>
          <w:sz w:val="28"/>
          <w:szCs w:val="28"/>
          <w:highlight w:val="none"/>
        </w:rPr>
        <w:t>（项目名称）</w:t>
      </w:r>
      <w:r>
        <w:rPr>
          <w:rFonts w:ascii="Times New Roman" w:hAnsi="Times New Roman" w:eastAsia="黑体"/>
          <w:sz w:val="28"/>
          <w:szCs w:val="28"/>
          <w:highlight w:val="none"/>
          <w:u w:val="single"/>
        </w:rPr>
        <w:t xml:space="preserve">        </w:t>
      </w:r>
      <w:r>
        <w:rPr>
          <w:rFonts w:ascii="Times New Roman" w:hAnsi="Times New Roman" w:eastAsia="黑体"/>
          <w:sz w:val="28"/>
          <w:szCs w:val="28"/>
          <w:highlight w:val="none"/>
        </w:rPr>
        <w:t>（</w:t>
      </w:r>
      <w:r>
        <w:rPr>
          <w:rFonts w:hint="eastAsia" w:ascii="Times New Roman" w:hAnsi="Times New Roman" w:eastAsia="黑体"/>
          <w:sz w:val="28"/>
          <w:szCs w:val="28"/>
          <w:highlight w:val="none"/>
          <w:lang w:val="en-US" w:eastAsia="zh-CN"/>
        </w:rPr>
        <w:t>标段</w:t>
      </w:r>
      <w:r>
        <w:rPr>
          <w:rFonts w:ascii="Times New Roman" w:hAnsi="Times New Roman" w:eastAsia="黑体"/>
          <w:sz w:val="28"/>
          <w:szCs w:val="28"/>
          <w:highlight w:val="none"/>
        </w:rPr>
        <w:t>名称）</w:t>
      </w:r>
    </w:p>
    <w:p>
      <w:pPr>
        <w:jc w:val="center"/>
        <w:rPr>
          <w:rFonts w:ascii="Times New Roman" w:hAnsi="Times New Roman" w:eastAsia="黑体"/>
          <w:sz w:val="28"/>
          <w:szCs w:val="28"/>
          <w:highlight w:val="none"/>
        </w:rPr>
      </w:pPr>
    </w:p>
    <w:p>
      <w:pPr>
        <w:rPr>
          <w:rFonts w:ascii="Times New Roman" w:hAnsi="Times New Roman" w:eastAsia="黑体"/>
          <w:color w:val="000000"/>
          <w:sz w:val="20"/>
          <w:highlight w:val="none"/>
        </w:rPr>
      </w:pPr>
    </w:p>
    <w:p>
      <w:pPr>
        <w:rPr>
          <w:rFonts w:ascii="Times New Roman" w:hAnsi="Times New Roman" w:eastAsia="黑体"/>
          <w:color w:val="000000"/>
          <w:sz w:val="20"/>
          <w:highlight w:val="none"/>
        </w:rPr>
      </w:pPr>
    </w:p>
    <w:p>
      <w:pPr>
        <w:pStyle w:val="3"/>
        <w:jc w:val="center"/>
        <w:rPr>
          <w:rFonts w:ascii="Times New Roman" w:hAnsi="Times New Roman"/>
          <w:color w:val="000000"/>
          <w:highlight w:val="none"/>
        </w:rPr>
      </w:pPr>
      <w:bookmarkStart w:id="892" w:name="_Toc859497666"/>
      <w:r>
        <w:rPr>
          <w:rFonts w:ascii="Times New Roman" w:hAnsi="Times New Roman"/>
          <w:color w:val="000000"/>
          <w:highlight w:val="none"/>
        </w:rPr>
        <w:t>投标文件</w:t>
      </w:r>
      <w:r>
        <w:rPr>
          <w:rFonts w:hint="eastAsia" w:ascii="Times New Roman" w:hAnsi="Times New Roman"/>
          <w:color w:val="000000"/>
          <w:highlight w:val="none"/>
        </w:rPr>
        <w:t>（技术标）</w:t>
      </w:r>
      <w:bookmarkEnd w:id="892"/>
    </w:p>
    <w:p>
      <w:pPr>
        <w:jc w:val="center"/>
        <w:rPr>
          <w:rFonts w:ascii="Times New Roman" w:hAnsi="Times New Roman" w:eastAsia="黑体"/>
          <w:color w:val="000000"/>
          <w:sz w:val="44"/>
          <w:highlight w:val="none"/>
        </w:rPr>
      </w:pPr>
    </w:p>
    <w:p>
      <w:pPr>
        <w:jc w:val="center"/>
        <w:rPr>
          <w:rFonts w:ascii="Times New Roman" w:hAnsi="Times New Roman" w:eastAsia="黑体"/>
          <w:color w:val="000000"/>
          <w:sz w:val="44"/>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rPr>
          <w:rFonts w:ascii="Times New Roman" w:hAnsi="Times New Roman" w:eastAsia="黑体"/>
          <w:color w:val="000000"/>
          <w:sz w:val="28"/>
          <w:highlight w:val="none"/>
        </w:rPr>
      </w:pPr>
    </w:p>
    <w:p>
      <w:pPr>
        <w:jc w:val="center"/>
        <w:rPr>
          <w:rFonts w:ascii="Times New Roman" w:hAnsi="Times New Roman" w:eastAsia="黑体"/>
          <w:color w:val="000000"/>
          <w:sz w:val="28"/>
          <w:highlight w:val="none"/>
        </w:rPr>
      </w:pPr>
    </w:p>
    <w:p>
      <w:pPr>
        <w:spacing w:line="400" w:lineRule="exact"/>
        <w:jc w:val="center"/>
        <w:rPr>
          <w:rFonts w:ascii="Times New Roman" w:hAnsi="Times New Roman"/>
          <w:color w:val="000000"/>
          <w:highlight w:val="none"/>
        </w:rPr>
      </w:pPr>
      <w:r>
        <w:rPr>
          <w:rFonts w:ascii="Times New Roman" w:hAnsi="Times New Roman"/>
          <w:color w:val="000000"/>
          <w:highlight w:val="none"/>
          <w:u w:val="single"/>
        </w:rPr>
        <w:t xml:space="preserve">       </w:t>
      </w:r>
      <w:r>
        <w:rPr>
          <w:rFonts w:ascii="Times New Roman" w:hAnsi="Times New Roman" w:eastAsia="黑体"/>
          <w:color w:val="000000"/>
          <w:sz w:val="28"/>
          <w:highlight w:val="none"/>
        </w:rPr>
        <w:t>年</w:t>
      </w:r>
      <w:r>
        <w:rPr>
          <w:rFonts w:ascii="Times New Roman" w:hAnsi="Times New Roman"/>
          <w:color w:val="000000"/>
          <w:highlight w:val="none"/>
          <w:u w:val="single"/>
        </w:rPr>
        <w:t xml:space="preserve">       </w:t>
      </w:r>
      <w:r>
        <w:rPr>
          <w:rFonts w:ascii="Times New Roman" w:hAnsi="Times New Roman" w:eastAsia="黑体"/>
          <w:color w:val="000000"/>
          <w:sz w:val="28"/>
          <w:highlight w:val="none"/>
        </w:rPr>
        <w:t>月</w:t>
      </w:r>
      <w:r>
        <w:rPr>
          <w:rFonts w:ascii="Times New Roman" w:hAnsi="Times New Roman"/>
          <w:color w:val="000000"/>
          <w:highlight w:val="none"/>
          <w:u w:val="single"/>
        </w:rPr>
        <w:t xml:space="preserve">       </w:t>
      </w:r>
      <w:r>
        <w:rPr>
          <w:rFonts w:ascii="Times New Roman" w:hAnsi="Times New Roman" w:eastAsia="黑体"/>
          <w:color w:val="000000"/>
          <w:sz w:val="28"/>
          <w:highlight w:val="none"/>
        </w:rPr>
        <w:t>日</w:t>
      </w:r>
      <w:r>
        <w:rPr>
          <w:rFonts w:ascii="Times New Roman" w:hAnsi="Times New Roman"/>
          <w:color w:val="000000"/>
          <w:highlight w:val="none"/>
        </w:rPr>
        <w:br w:type="page"/>
      </w:r>
    </w:p>
    <w:p>
      <w:pPr>
        <w:pStyle w:val="3"/>
        <w:jc w:val="center"/>
        <w:rPr>
          <w:rFonts w:ascii="Times New Roman" w:hAnsi="Times New Roman"/>
          <w:color w:val="000000"/>
          <w:highlight w:val="none"/>
        </w:rPr>
      </w:pPr>
      <w:bookmarkStart w:id="893" w:name="_Toc314388788"/>
      <w:r>
        <w:rPr>
          <w:rFonts w:ascii="Times New Roman" w:hAnsi="Times New Roman"/>
          <w:color w:val="000000"/>
          <w:highlight w:val="none"/>
        </w:rPr>
        <w:t>目录</w:t>
      </w:r>
      <w:bookmarkEnd w:id="893"/>
    </w:p>
    <w:p>
      <w:pPr>
        <w:spacing w:line="540" w:lineRule="exact"/>
        <w:rPr>
          <w:rFonts w:ascii="Times New Roman" w:hAnsi="Times New Roman"/>
          <w:color w:val="000000"/>
          <w:highlight w:val="none"/>
        </w:rPr>
      </w:pPr>
    </w:p>
    <w:p>
      <w:pPr>
        <w:spacing w:line="540" w:lineRule="exact"/>
        <w:rPr>
          <w:rFonts w:ascii="Times New Roman" w:hAnsi="Times New Roman"/>
          <w:highlight w:val="none"/>
        </w:rPr>
      </w:pPr>
      <w:r>
        <w:rPr>
          <w:rFonts w:ascii="Times New Roman" w:hAnsi="Times New Roman"/>
          <w:highlight w:val="none"/>
        </w:rPr>
        <w:t>一、技术偏差表</w:t>
      </w:r>
    </w:p>
    <w:p>
      <w:pPr>
        <w:spacing w:line="540" w:lineRule="exact"/>
        <w:rPr>
          <w:rFonts w:ascii="Times New Roman" w:hAnsi="Times New Roman"/>
          <w:highlight w:val="none"/>
        </w:rPr>
      </w:pPr>
      <w:r>
        <w:rPr>
          <w:rFonts w:hint="eastAsia" w:ascii="Times New Roman" w:hAnsi="Times New Roman"/>
          <w:highlight w:val="none"/>
        </w:rPr>
        <w:t>二</w:t>
      </w:r>
      <w:r>
        <w:rPr>
          <w:rFonts w:ascii="Times New Roman" w:hAnsi="Times New Roman"/>
          <w:highlight w:val="none"/>
        </w:rPr>
        <w:t>、投标材料质量标准的详细描述</w:t>
      </w:r>
    </w:p>
    <w:p>
      <w:pPr>
        <w:spacing w:line="540" w:lineRule="exact"/>
        <w:rPr>
          <w:rFonts w:ascii="Times New Roman" w:hAnsi="Times New Roman"/>
          <w:highlight w:val="none"/>
        </w:rPr>
      </w:pPr>
      <w:r>
        <w:rPr>
          <w:rFonts w:hint="eastAsia" w:ascii="Times New Roman" w:hAnsi="Times New Roman"/>
          <w:highlight w:val="none"/>
        </w:rPr>
        <w:t>三</w:t>
      </w:r>
      <w:r>
        <w:rPr>
          <w:rFonts w:ascii="Times New Roman" w:hAnsi="Times New Roman"/>
          <w:highlight w:val="none"/>
        </w:rPr>
        <w:t>、技术支持资料</w:t>
      </w:r>
    </w:p>
    <w:p>
      <w:pPr>
        <w:spacing w:line="540" w:lineRule="exact"/>
        <w:rPr>
          <w:rFonts w:ascii="Times New Roman" w:hAnsi="Times New Roman"/>
          <w:highlight w:val="none"/>
        </w:rPr>
      </w:pPr>
      <w:r>
        <w:rPr>
          <w:rFonts w:hint="eastAsia" w:ascii="Times New Roman" w:hAnsi="Times New Roman"/>
          <w:highlight w:val="none"/>
        </w:rPr>
        <w:t>四</w:t>
      </w:r>
      <w:r>
        <w:rPr>
          <w:rFonts w:ascii="Times New Roman" w:hAnsi="Times New Roman"/>
          <w:highlight w:val="none"/>
        </w:rPr>
        <w:t>、相关服务计划</w:t>
      </w:r>
    </w:p>
    <w:p>
      <w:pPr>
        <w:spacing w:line="540" w:lineRule="exact"/>
        <w:rPr>
          <w:rFonts w:ascii="Times New Roman" w:hAnsi="Times New Roman"/>
          <w:highlight w:val="none"/>
        </w:rPr>
      </w:pPr>
      <w:r>
        <w:rPr>
          <w:rFonts w:hint="eastAsia" w:ascii="Times New Roman" w:hAnsi="Times New Roman"/>
          <w:highlight w:val="none"/>
        </w:rPr>
        <w:t>五</w:t>
      </w:r>
      <w:r>
        <w:rPr>
          <w:rFonts w:ascii="Times New Roman" w:hAnsi="Times New Roman"/>
          <w:highlight w:val="none"/>
        </w:rPr>
        <w:t>、其他资料</w:t>
      </w:r>
    </w:p>
    <w:p>
      <w:pPr>
        <w:spacing w:line="540" w:lineRule="exact"/>
        <w:rPr>
          <w:rFonts w:ascii="Times New Roman" w:hAnsi="Times New Roman"/>
          <w:highlight w:val="none"/>
        </w:rPr>
      </w:pPr>
    </w:p>
    <w:p>
      <w:pPr>
        <w:spacing w:line="540" w:lineRule="exact"/>
        <w:rPr>
          <w:rFonts w:ascii="Times New Roman" w:hAnsi="Times New Roman" w:eastAsia="黑体"/>
          <w:sz w:val="20"/>
          <w:highlight w:val="none"/>
        </w:rPr>
      </w:pPr>
      <w:r>
        <w:rPr>
          <w:rFonts w:ascii="Times New Roman" w:hAnsi="Times New Roman"/>
          <w:highlight w:val="none"/>
        </w:rPr>
        <w:br w:type="page"/>
      </w:r>
    </w:p>
    <w:p>
      <w:pPr>
        <w:pStyle w:val="3"/>
        <w:jc w:val="center"/>
        <w:rPr>
          <w:rFonts w:ascii="Times New Roman" w:hAnsi="Times New Roman"/>
          <w:highlight w:val="none"/>
        </w:rPr>
      </w:pPr>
      <w:bookmarkStart w:id="894" w:name="_Toc1178883232"/>
      <w:r>
        <w:rPr>
          <w:rFonts w:hint="eastAsia" w:ascii="Times New Roman" w:hAnsi="Times New Roman"/>
          <w:highlight w:val="none"/>
        </w:rPr>
        <w:t>一</w:t>
      </w:r>
      <w:r>
        <w:rPr>
          <w:rFonts w:ascii="Times New Roman" w:hAnsi="Times New Roman"/>
          <w:highlight w:val="none"/>
        </w:rPr>
        <w:t>、技术偏差表</w:t>
      </w:r>
      <w:bookmarkEnd w:id="894"/>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2694"/>
        <w:gridCol w:w="2979"/>
        <w:gridCol w:w="1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b/>
                <w:kern w:val="0"/>
                <w:szCs w:val="21"/>
                <w:highlight w:val="none"/>
              </w:rPr>
            </w:pPr>
            <w:r>
              <w:rPr>
                <w:rFonts w:ascii="Times New Roman" w:hAnsi="Times New Roman"/>
                <w:b/>
                <w:kern w:val="0"/>
                <w:szCs w:val="21"/>
                <w:highlight w:val="none"/>
              </w:rPr>
              <w:t>序号</w:t>
            </w:r>
          </w:p>
        </w:tc>
        <w:tc>
          <w:tcPr>
            <w:tcW w:w="2694" w:type="dxa"/>
            <w:vAlign w:val="bottom"/>
          </w:tcPr>
          <w:p>
            <w:pPr>
              <w:widowControl/>
              <w:snapToGrid w:val="0"/>
              <w:jc w:val="center"/>
              <w:rPr>
                <w:rFonts w:ascii="Times New Roman" w:hAnsi="Times New Roman"/>
                <w:b/>
                <w:kern w:val="0"/>
                <w:szCs w:val="21"/>
                <w:highlight w:val="none"/>
              </w:rPr>
            </w:pPr>
            <w:r>
              <w:rPr>
                <w:rFonts w:ascii="Times New Roman" w:hAnsi="Times New Roman"/>
                <w:b/>
                <w:kern w:val="0"/>
                <w:szCs w:val="21"/>
                <w:highlight w:val="none"/>
              </w:rPr>
              <w:t>招标文件章节及条款号</w:t>
            </w:r>
          </w:p>
        </w:tc>
        <w:tc>
          <w:tcPr>
            <w:tcW w:w="2979" w:type="dxa"/>
            <w:vAlign w:val="bottom"/>
          </w:tcPr>
          <w:p>
            <w:pPr>
              <w:widowControl/>
              <w:snapToGrid w:val="0"/>
              <w:jc w:val="center"/>
              <w:rPr>
                <w:rFonts w:ascii="Times New Roman" w:hAnsi="Times New Roman"/>
                <w:b/>
                <w:kern w:val="0"/>
                <w:szCs w:val="21"/>
                <w:highlight w:val="none"/>
              </w:rPr>
            </w:pPr>
            <w:r>
              <w:rPr>
                <w:rFonts w:ascii="Times New Roman" w:hAnsi="Times New Roman"/>
                <w:b/>
                <w:kern w:val="0"/>
                <w:szCs w:val="21"/>
                <w:highlight w:val="none"/>
              </w:rPr>
              <w:t>投标文件章节及条款号</w:t>
            </w:r>
          </w:p>
        </w:tc>
        <w:tc>
          <w:tcPr>
            <w:tcW w:w="1624" w:type="dxa"/>
            <w:vAlign w:val="bottom"/>
          </w:tcPr>
          <w:p>
            <w:pPr>
              <w:widowControl/>
              <w:snapToGrid w:val="0"/>
              <w:jc w:val="center"/>
              <w:rPr>
                <w:rFonts w:ascii="Times New Roman" w:hAnsi="Times New Roman"/>
                <w:b/>
                <w:kern w:val="0"/>
                <w:szCs w:val="21"/>
                <w:highlight w:val="none"/>
              </w:rPr>
            </w:pPr>
            <w:r>
              <w:rPr>
                <w:rFonts w:ascii="Times New Roman" w:hAnsi="Times New Roman"/>
                <w:b/>
                <w:kern w:val="0"/>
                <w:szCs w:val="21"/>
                <w:highlight w:val="none"/>
              </w:rPr>
              <w:t>偏差说明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kern w:val="0"/>
                <w:szCs w:val="21"/>
                <w:highlight w:val="none"/>
              </w:rPr>
            </w:pPr>
            <w:r>
              <w:rPr>
                <w:rFonts w:ascii="Times New Roman" w:hAnsi="Times New Roman"/>
                <w:kern w:val="0"/>
                <w:szCs w:val="21"/>
                <w:highlight w:val="none"/>
              </w:rPr>
              <w:t>1</w:t>
            </w:r>
          </w:p>
        </w:tc>
        <w:tc>
          <w:tcPr>
            <w:tcW w:w="2694" w:type="dxa"/>
            <w:vAlign w:val="bottom"/>
          </w:tcPr>
          <w:p>
            <w:pPr>
              <w:widowControl/>
              <w:snapToGrid w:val="0"/>
              <w:jc w:val="center"/>
              <w:rPr>
                <w:rFonts w:ascii="Times New Roman" w:hAnsi="Times New Roman"/>
                <w:kern w:val="0"/>
                <w:szCs w:val="21"/>
                <w:highlight w:val="none"/>
              </w:rPr>
            </w:pPr>
          </w:p>
        </w:tc>
        <w:tc>
          <w:tcPr>
            <w:tcW w:w="2979" w:type="dxa"/>
            <w:vAlign w:val="bottom"/>
          </w:tcPr>
          <w:p>
            <w:pPr>
              <w:widowControl/>
              <w:snapToGrid w:val="0"/>
              <w:jc w:val="center"/>
              <w:rPr>
                <w:rFonts w:ascii="Times New Roman" w:hAnsi="Times New Roman"/>
                <w:kern w:val="0"/>
                <w:szCs w:val="21"/>
                <w:highlight w:val="none"/>
              </w:rPr>
            </w:pPr>
          </w:p>
        </w:tc>
        <w:tc>
          <w:tcPr>
            <w:tcW w:w="1624" w:type="dxa"/>
            <w:vAlign w:val="bottom"/>
          </w:tcPr>
          <w:p>
            <w:pPr>
              <w:widowControl/>
              <w:snapToGrid w:val="0"/>
              <w:jc w:val="center"/>
              <w:rPr>
                <w:rFonts w:ascii="Times New Roman" w:hAnsi="Times New Roman"/>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kern w:val="0"/>
                <w:szCs w:val="21"/>
                <w:highlight w:val="none"/>
              </w:rPr>
            </w:pPr>
            <w:r>
              <w:rPr>
                <w:rFonts w:ascii="Times New Roman" w:hAnsi="Times New Roman"/>
                <w:kern w:val="0"/>
                <w:szCs w:val="21"/>
                <w:highlight w:val="none"/>
              </w:rPr>
              <w:t>2</w:t>
            </w:r>
          </w:p>
        </w:tc>
        <w:tc>
          <w:tcPr>
            <w:tcW w:w="2694" w:type="dxa"/>
            <w:vAlign w:val="bottom"/>
          </w:tcPr>
          <w:p>
            <w:pPr>
              <w:widowControl/>
              <w:snapToGrid w:val="0"/>
              <w:jc w:val="center"/>
              <w:rPr>
                <w:rFonts w:ascii="Times New Roman" w:hAnsi="Times New Roman"/>
                <w:kern w:val="0"/>
                <w:szCs w:val="21"/>
                <w:highlight w:val="none"/>
              </w:rPr>
            </w:pPr>
          </w:p>
        </w:tc>
        <w:tc>
          <w:tcPr>
            <w:tcW w:w="2979" w:type="dxa"/>
            <w:vAlign w:val="bottom"/>
          </w:tcPr>
          <w:p>
            <w:pPr>
              <w:widowControl/>
              <w:snapToGrid w:val="0"/>
              <w:jc w:val="center"/>
              <w:rPr>
                <w:rFonts w:ascii="Times New Roman" w:hAnsi="Times New Roman"/>
                <w:kern w:val="0"/>
                <w:szCs w:val="21"/>
                <w:highlight w:val="none"/>
              </w:rPr>
            </w:pPr>
          </w:p>
        </w:tc>
        <w:tc>
          <w:tcPr>
            <w:tcW w:w="1624" w:type="dxa"/>
            <w:vAlign w:val="bottom"/>
          </w:tcPr>
          <w:p>
            <w:pPr>
              <w:widowControl/>
              <w:snapToGrid w:val="0"/>
              <w:jc w:val="center"/>
              <w:rPr>
                <w:rFonts w:ascii="Times New Roman" w:hAnsi="Times New Roman"/>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kern w:val="0"/>
                <w:szCs w:val="21"/>
                <w:highlight w:val="none"/>
              </w:rPr>
            </w:pPr>
            <w:r>
              <w:rPr>
                <w:rFonts w:ascii="Times New Roman" w:hAnsi="Times New Roman"/>
                <w:kern w:val="0"/>
                <w:szCs w:val="21"/>
                <w:highlight w:val="none"/>
              </w:rPr>
              <w:t>3</w:t>
            </w:r>
          </w:p>
        </w:tc>
        <w:tc>
          <w:tcPr>
            <w:tcW w:w="2694" w:type="dxa"/>
            <w:vAlign w:val="bottom"/>
          </w:tcPr>
          <w:p>
            <w:pPr>
              <w:widowControl/>
              <w:snapToGrid w:val="0"/>
              <w:jc w:val="center"/>
              <w:rPr>
                <w:rFonts w:ascii="Times New Roman" w:hAnsi="Times New Roman"/>
                <w:kern w:val="0"/>
                <w:szCs w:val="21"/>
                <w:highlight w:val="none"/>
              </w:rPr>
            </w:pPr>
          </w:p>
        </w:tc>
        <w:tc>
          <w:tcPr>
            <w:tcW w:w="2979" w:type="dxa"/>
            <w:vAlign w:val="bottom"/>
          </w:tcPr>
          <w:p>
            <w:pPr>
              <w:widowControl/>
              <w:snapToGrid w:val="0"/>
              <w:jc w:val="center"/>
              <w:rPr>
                <w:rFonts w:ascii="Times New Roman" w:hAnsi="Times New Roman"/>
                <w:kern w:val="0"/>
                <w:szCs w:val="21"/>
                <w:highlight w:val="none"/>
              </w:rPr>
            </w:pPr>
          </w:p>
        </w:tc>
        <w:tc>
          <w:tcPr>
            <w:tcW w:w="1624" w:type="dxa"/>
            <w:vAlign w:val="bottom"/>
          </w:tcPr>
          <w:p>
            <w:pPr>
              <w:widowControl/>
              <w:snapToGrid w:val="0"/>
              <w:jc w:val="center"/>
              <w:rPr>
                <w:rFonts w:ascii="Times New Roman" w:hAnsi="Times New Roman"/>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kern w:val="0"/>
                <w:szCs w:val="21"/>
                <w:highlight w:val="none"/>
              </w:rPr>
            </w:pPr>
            <w:r>
              <w:rPr>
                <w:rFonts w:ascii="Times New Roman" w:hAnsi="Times New Roman"/>
                <w:kern w:val="0"/>
                <w:szCs w:val="21"/>
                <w:highlight w:val="none"/>
              </w:rPr>
              <w:t>4</w:t>
            </w:r>
          </w:p>
        </w:tc>
        <w:tc>
          <w:tcPr>
            <w:tcW w:w="2694" w:type="dxa"/>
            <w:vAlign w:val="bottom"/>
          </w:tcPr>
          <w:p>
            <w:pPr>
              <w:widowControl/>
              <w:snapToGrid w:val="0"/>
              <w:jc w:val="center"/>
              <w:rPr>
                <w:rFonts w:ascii="Times New Roman" w:hAnsi="Times New Roman"/>
                <w:kern w:val="0"/>
                <w:szCs w:val="21"/>
                <w:highlight w:val="none"/>
              </w:rPr>
            </w:pPr>
          </w:p>
        </w:tc>
        <w:tc>
          <w:tcPr>
            <w:tcW w:w="2979" w:type="dxa"/>
            <w:vAlign w:val="bottom"/>
          </w:tcPr>
          <w:p>
            <w:pPr>
              <w:widowControl/>
              <w:snapToGrid w:val="0"/>
              <w:jc w:val="center"/>
              <w:rPr>
                <w:rFonts w:ascii="Times New Roman" w:hAnsi="Times New Roman"/>
                <w:kern w:val="0"/>
                <w:szCs w:val="21"/>
                <w:highlight w:val="none"/>
              </w:rPr>
            </w:pPr>
          </w:p>
        </w:tc>
        <w:tc>
          <w:tcPr>
            <w:tcW w:w="1624" w:type="dxa"/>
            <w:vAlign w:val="bottom"/>
          </w:tcPr>
          <w:p>
            <w:pPr>
              <w:widowControl/>
              <w:snapToGrid w:val="0"/>
              <w:jc w:val="center"/>
              <w:rPr>
                <w:rFonts w:ascii="Times New Roman" w:hAnsi="Times New Roman"/>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kern w:val="0"/>
                <w:szCs w:val="21"/>
                <w:highlight w:val="none"/>
              </w:rPr>
            </w:pPr>
            <w:r>
              <w:rPr>
                <w:rFonts w:ascii="Times New Roman" w:hAnsi="Times New Roman"/>
                <w:kern w:val="0"/>
                <w:szCs w:val="21"/>
                <w:highlight w:val="none"/>
              </w:rPr>
              <w:t>5</w:t>
            </w:r>
          </w:p>
        </w:tc>
        <w:tc>
          <w:tcPr>
            <w:tcW w:w="2694" w:type="dxa"/>
            <w:vAlign w:val="bottom"/>
          </w:tcPr>
          <w:p>
            <w:pPr>
              <w:widowControl/>
              <w:snapToGrid w:val="0"/>
              <w:jc w:val="center"/>
              <w:rPr>
                <w:rFonts w:ascii="Times New Roman" w:hAnsi="Times New Roman"/>
                <w:kern w:val="0"/>
                <w:szCs w:val="21"/>
                <w:highlight w:val="none"/>
              </w:rPr>
            </w:pPr>
          </w:p>
        </w:tc>
        <w:tc>
          <w:tcPr>
            <w:tcW w:w="2979" w:type="dxa"/>
            <w:vAlign w:val="bottom"/>
          </w:tcPr>
          <w:p>
            <w:pPr>
              <w:widowControl/>
              <w:snapToGrid w:val="0"/>
              <w:jc w:val="center"/>
              <w:rPr>
                <w:rFonts w:ascii="Times New Roman" w:hAnsi="Times New Roman"/>
                <w:kern w:val="0"/>
                <w:szCs w:val="21"/>
                <w:highlight w:val="none"/>
              </w:rPr>
            </w:pPr>
          </w:p>
        </w:tc>
        <w:tc>
          <w:tcPr>
            <w:tcW w:w="1624" w:type="dxa"/>
            <w:vAlign w:val="bottom"/>
          </w:tcPr>
          <w:p>
            <w:pPr>
              <w:widowControl/>
              <w:snapToGrid w:val="0"/>
              <w:jc w:val="center"/>
              <w:rPr>
                <w:rFonts w:ascii="Times New Roman" w:hAnsi="Times New Roman"/>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kern w:val="0"/>
                <w:szCs w:val="21"/>
                <w:highlight w:val="none"/>
              </w:rPr>
            </w:pPr>
            <w:r>
              <w:rPr>
                <w:rFonts w:ascii="Times New Roman" w:hAnsi="Times New Roman"/>
                <w:kern w:val="0"/>
                <w:szCs w:val="21"/>
                <w:highlight w:val="none"/>
              </w:rPr>
              <w:t>……</w:t>
            </w:r>
          </w:p>
        </w:tc>
        <w:tc>
          <w:tcPr>
            <w:tcW w:w="2694" w:type="dxa"/>
            <w:vAlign w:val="bottom"/>
          </w:tcPr>
          <w:p>
            <w:pPr>
              <w:widowControl/>
              <w:snapToGrid w:val="0"/>
              <w:jc w:val="center"/>
              <w:rPr>
                <w:rFonts w:ascii="Times New Roman" w:hAnsi="Times New Roman"/>
                <w:kern w:val="0"/>
                <w:szCs w:val="21"/>
                <w:highlight w:val="none"/>
              </w:rPr>
            </w:pPr>
          </w:p>
        </w:tc>
        <w:tc>
          <w:tcPr>
            <w:tcW w:w="2979" w:type="dxa"/>
            <w:vAlign w:val="bottom"/>
          </w:tcPr>
          <w:p>
            <w:pPr>
              <w:widowControl/>
              <w:snapToGrid w:val="0"/>
              <w:jc w:val="center"/>
              <w:rPr>
                <w:rFonts w:ascii="Times New Roman" w:hAnsi="Times New Roman"/>
                <w:kern w:val="0"/>
                <w:szCs w:val="21"/>
                <w:highlight w:val="none"/>
              </w:rPr>
            </w:pPr>
          </w:p>
        </w:tc>
        <w:tc>
          <w:tcPr>
            <w:tcW w:w="1624" w:type="dxa"/>
            <w:vAlign w:val="bottom"/>
          </w:tcPr>
          <w:p>
            <w:pPr>
              <w:widowControl/>
              <w:snapToGrid w:val="0"/>
              <w:jc w:val="center"/>
              <w:rPr>
                <w:rFonts w:ascii="Times New Roman" w:hAnsi="Times New Roman"/>
                <w:kern w:val="0"/>
                <w:szCs w:val="21"/>
                <w:highlight w:val="none"/>
              </w:rPr>
            </w:pPr>
          </w:p>
        </w:tc>
      </w:tr>
    </w:tbl>
    <w:p>
      <w:pPr>
        <w:spacing w:line="440" w:lineRule="exact"/>
        <w:ind w:firstLine="420" w:firstLineChars="200"/>
        <w:rPr>
          <w:rFonts w:ascii="Times New Roman" w:hAnsi="Times New Roman"/>
          <w:szCs w:val="21"/>
          <w:highlight w:val="none"/>
        </w:rPr>
      </w:pPr>
      <w:r>
        <w:rPr>
          <w:rFonts w:ascii="Times New Roman" w:hAnsi="Times New Roman"/>
          <w:szCs w:val="21"/>
          <w:highlight w:val="none"/>
        </w:rPr>
        <w:t>投标人保证：除技术偏差表列出的偏差外，投标人响应招标文件技术部分的全部要求。</w:t>
      </w:r>
    </w:p>
    <w:p>
      <w:pPr>
        <w:widowControl/>
        <w:jc w:val="left"/>
        <w:rPr>
          <w:rFonts w:ascii="Times New Roman" w:hAnsi="Times New Roman"/>
          <w:szCs w:val="21"/>
          <w:highlight w:val="none"/>
        </w:rPr>
      </w:pPr>
      <w:r>
        <w:rPr>
          <w:rFonts w:ascii="Times New Roman" w:hAnsi="Times New Roman"/>
          <w:szCs w:val="21"/>
          <w:highlight w:val="none"/>
        </w:rPr>
        <w:br w:type="page"/>
      </w:r>
    </w:p>
    <w:p>
      <w:pPr>
        <w:pStyle w:val="3"/>
        <w:spacing w:line="400" w:lineRule="exact"/>
        <w:jc w:val="center"/>
        <w:rPr>
          <w:rFonts w:ascii="Times New Roman" w:hAnsi="Times New Roman"/>
          <w:highlight w:val="none"/>
        </w:rPr>
      </w:pPr>
      <w:bookmarkStart w:id="895" w:name="_Toc1284095165"/>
      <w:r>
        <w:rPr>
          <w:rFonts w:hint="eastAsia" w:ascii="Times New Roman" w:hAnsi="Times New Roman"/>
          <w:highlight w:val="none"/>
        </w:rPr>
        <w:t>二</w:t>
      </w:r>
      <w:r>
        <w:rPr>
          <w:rFonts w:ascii="Times New Roman" w:hAnsi="Times New Roman"/>
          <w:highlight w:val="none"/>
        </w:rPr>
        <w:t>、投标材料质量标准的详细描述</w:t>
      </w:r>
      <w:bookmarkEnd w:id="895"/>
    </w:p>
    <w:p>
      <w:pPr>
        <w:pStyle w:val="3"/>
        <w:spacing w:line="400" w:lineRule="exact"/>
        <w:jc w:val="center"/>
        <w:rPr>
          <w:rFonts w:ascii="Times New Roman" w:hAnsi="Times New Roman"/>
          <w:highlight w:val="none"/>
        </w:rPr>
      </w:pPr>
      <w:r>
        <w:rPr>
          <w:rFonts w:ascii="Times New Roman" w:hAnsi="Times New Roman"/>
          <w:highlight w:val="none"/>
        </w:rPr>
        <w:br w:type="page"/>
      </w:r>
      <w:bookmarkStart w:id="896" w:name="_Toc839538672"/>
      <w:r>
        <w:rPr>
          <w:rFonts w:hint="eastAsia" w:ascii="Times New Roman" w:hAnsi="Times New Roman"/>
          <w:highlight w:val="none"/>
        </w:rPr>
        <w:t>三</w:t>
      </w:r>
      <w:r>
        <w:rPr>
          <w:rFonts w:ascii="Times New Roman" w:hAnsi="Times New Roman"/>
          <w:highlight w:val="none"/>
        </w:rPr>
        <w:t>、技术支持资料</w:t>
      </w:r>
      <w:bookmarkEnd w:id="896"/>
    </w:p>
    <w:p>
      <w:pPr>
        <w:pStyle w:val="3"/>
        <w:spacing w:line="400" w:lineRule="exact"/>
        <w:jc w:val="center"/>
        <w:rPr>
          <w:rFonts w:ascii="Times New Roman" w:hAnsi="Times New Roman"/>
          <w:highlight w:val="none"/>
        </w:rPr>
      </w:pPr>
      <w:r>
        <w:rPr>
          <w:rFonts w:ascii="Times New Roman" w:hAnsi="Times New Roman"/>
          <w:highlight w:val="none"/>
        </w:rPr>
        <w:br w:type="page"/>
      </w:r>
    </w:p>
    <w:p>
      <w:pPr>
        <w:pStyle w:val="3"/>
        <w:spacing w:line="400" w:lineRule="exact"/>
        <w:jc w:val="center"/>
        <w:rPr>
          <w:rFonts w:ascii="Times New Roman" w:hAnsi="Times New Roman"/>
          <w:b w:val="0"/>
          <w:highlight w:val="none"/>
        </w:rPr>
      </w:pPr>
      <w:bookmarkStart w:id="897" w:name="_Toc565841619"/>
      <w:r>
        <w:rPr>
          <w:rFonts w:hint="eastAsia" w:ascii="Times New Roman" w:hAnsi="Times New Roman"/>
          <w:highlight w:val="none"/>
        </w:rPr>
        <w:t>四</w:t>
      </w:r>
      <w:r>
        <w:rPr>
          <w:rFonts w:ascii="Times New Roman" w:hAnsi="Times New Roman"/>
          <w:highlight w:val="none"/>
        </w:rPr>
        <w:t>、相关服务计划</w:t>
      </w:r>
      <w:bookmarkEnd w:id="897"/>
    </w:p>
    <w:p>
      <w:pPr>
        <w:pStyle w:val="3"/>
        <w:spacing w:line="400" w:lineRule="exact"/>
        <w:jc w:val="center"/>
        <w:rPr>
          <w:rFonts w:ascii="Times New Roman" w:hAnsi="Times New Roman"/>
          <w:highlight w:val="none"/>
        </w:rPr>
      </w:pPr>
      <w:r>
        <w:rPr>
          <w:rFonts w:ascii="Times New Roman" w:hAnsi="Times New Roman"/>
          <w:highlight w:val="none"/>
        </w:rPr>
        <w:br w:type="page"/>
      </w:r>
      <w:bookmarkStart w:id="898" w:name="_Toc1340653370"/>
      <w:r>
        <w:rPr>
          <w:rFonts w:hint="eastAsia" w:ascii="Times New Roman" w:hAnsi="Times New Roman"/>
          <w:highlight w:val="none"/>
        </w:rPr>
        <w:t>五</w:t>
      </w:r>
      <w:r>
        <w:rPr>
          <w:rFonts w:ascii="Times New Roman" w:hAnsi="Times New Roman"/>
          <w:highlight w:val="none"/>
        </w:rPr>
        <w:t>、其他资料</w:t>
      </w:r>
      <w:bookmarkEnd w:id="898"/>
    </w:p>
    <w:p>
      <w:pPr>
        <w:rPr>
          <w:rFonts w:ascii="Times New Roman" w:hAnsi="Times New Roman"/>
          <w:highlight w:val="none"/>
        </w:rPr>
      </w:pPr>
    </w:p>
    <w:p>
      <w:pPr>
        <w:rPr>
          <w:rFonts w:ascii="Times New Roman" w:hAnsi="Times New Roman"/>
          <w:highlight w:val="none"/>
        </w:rPr>
      </w:pPr>
    </w:p>
    <w:p>
      <w:pPr>
        <w:pStyle w:val="20"/>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widowControl/>
        <w:jc w:val="left"/>
        <w:rPr>
          <w:rFonts w:ascii="Times New Roman" w:hAnsi="Times New Roman"/>
          <w:highlight w:val="none"/>
        </w:rPr>
      </w:pPr>
    </w:p>
    <w:sectPr>
      <w:headerReference r:id="rId3" w:type="default"/>
      <w:footerReference r:id="rId4" w:type="default"/>
      <w:pgSz w:w="11910" w:h="16840"/>
      <w:pgMar w:top="1440" w:right="1800" w:bottom="1440" w:left="1800" w:header="720" w:footer="720" w:gutter="0"/>
      <w:pgNumType w:start="1"/>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方正黑体简体">
    <w:altName w:val="方正黑体_GBK"/>
    <w:panose1 w:val="00000000000000000000"/>
    <w:charset w:val="86"/>
    <w:family w:val="auto"/>
    <w:pitch w:val="default"/>
    <w:sig w:usb0="00000000" w:usb1="00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_x000B__x000C_">
    <w:altName w:val="DejaVu Math TeX Gyre"/>
    <w:panose1 w:val="00000000000000000000"/>
    <w:charset w:val="00"/>
    <w:family w:val="roman"/>
    <w:pitch w:val="default"/>
    <w:sig w:usb0="00000000" w:usb1="00000000" w:usb2="00000000" w:usb3="00000000" w:csb0="00000001" w:csb1="00000000"/>
  </w:font>
  <w:font w:name="SSJ-PK7482000002d-Identity-H">
    <w:altName w:val="汉仪仿宋S"/>
    <w:panose1 w:val="00000000000000000000"/>
    <w:charset w:val="86"/>
    <w:family w:val="auto"/>
    <w:pitch w:val="default"/>
    <w:sig w:usb0="00000000" w:usb1="00000000" w:usb2="00000010" w:usb3="00000000" w:csb0="00040000" w:csb1="00000000"/>
  </w:font>
  <w:font w:name="H-SS9-PK74820000032-Identity-H">
    <w:altName w:val="汉仪仿宋S"/>
    <w:panose1 w:val="00000000000000000000"/>
    <w:charset w:val="86"/>
    <w:family w:val="auto"/>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经典粗黑简">
    <w:altName w:val="方正黑体_GBK"/>
    <w:panose1 w:val="00000000000000000000"/>
    <w:charset w:val="86"/>
    <w:family w:val="modern"/>
    <w:pitch w:val="default"/>
    <w:sig w:usb0="00000000" w:usb1="00000000" w:usb2="0000001E"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Noto Sans CJK JP Bold">
    <w:panose1 w:val="020B0800000000000000"/>
    <w:charset w:val="86"/>
    <w:family w:val="auto"/>
    <w:pitch w:val="default"/>
    <w:sig w:usb0="30000003" w:usb1="2BDF3C10" w:usb2="00000016" w:usb3="00000000" w:csb0="602E0107" w:csb1="00000000"/>
  </w:font>
  <w:font w:name="Noto Sans Syriac Eastern">
    <w:panose1 w:val="02040503050306020203"/>
    <w:charset w:val="86"/>
    <w:family w:val="auto"/>
    <w:pitch w:val="default"/>
    <w:sig w:usb0="00000000" w:usb1="00000000" w:usb2="00000080" w:usb3="00000000" w:csb0="203E0161" w:csb1="D7FF0000"/>
  </w:font>
  <w:font w:name="DejaVu Math TeX Gyre">
    <w:panose1 w:val="02000503000000000000"/>
    <w:charset w:val="00"/>
    <w:family w:val="auto"/>
    <w:pitch w:val="default"/>
    <w:sig w:usb0="A10000EF" w:usb1="4201F9EE" w:usb2="02000000" w:usb3="00000000" w:csb0="60000193" w:csb1="0DD40000"/>
  </w:font>
  <w:font w:name="方正楷体_GBK">
    <w:panose1 w:val="02000000000000000000"/>
    <w:charset w:val="86"/>
    <w:family w:val="auto"/>
    <w:pitch w:val="default"/>
    <w:sig w:usb0="00000001" w:usb1="08000000" w:usb2="00000000" w:usb3="00000000" w:csb0="00040000" w:csb1="00000000"/>
  </w:font>
  <w:font w:name="汉仪仿宋S">
    <w:panose1 w:val="00020600040101000101"/>
    <w:charset w:val="86"/>
    <w:family w:val="auto"/>
    <w:pitch w:val="default"/>
    <w:sig w:usb0="A00002BF" w:usb1="38CF7CFA" w:usb2="00000016"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08516155"/>
      <w:docPartObj>
        <w:docPartGallery w:val="autotext"/>
      </w:docPartObj>
    </w:sdtPr>
    <w:sdtContent>
      <w:p>
        <w:pPr>
          <w:pStyle w:val="20"/>
          <w:jc w:val="center"/>
        </w:pPr>
        <w:r>
          <w:rPr>
            <w:u w:val="none"/>
          </w:rPr>
          <w:fldChar w:fldCharType="begin"/>
        </w:r>
        <w:r>
          <w:rPr>
            <w:u w:val="none"/>
          </w:rPr>
          <w:instrText xml:space="preserve">PAGE   \* MERGEFORMAT</w:instrText>
        </w:r>
        <w:r>
          <w:rPr>
            <w:u w:val="none"/>
          </w:rPr>
          <w:fldChar w:fldCharType="separate"/>
        </w:r>
        <w:r>
          <w:rPr>
            <w:u w:val="none"/>
            <w:lang w:val="zh-CN"/>
          </w:rPr>
          <w:t>36</w:t>
        </w:r>
        <w:r>
          <w:rPr>
            <w:u w:val="none"/>
          </w:rPr>
          <w:fldChar w:fldCharType="end"/>
        </w:r>
      </w:p>
    </w:sdtContent>
  </w:sdt>
  <w:p>
    <w:pPr>
      <w:pStyle w:val="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F73985"/>
    <w:multiLevelType w:val="singleLevel"/>
    <w:tmpl w:val="8FF73985"/>
    <w:lvl w:ilvl="0" w:tentative="0">
      <w:start w:val="1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A60"/>
    <w:rsid w:val="00004603"/>
    <w:rsid w:val="00007319"/>
    <w:rsid w:val="000106AE"/>
    <w:rsid w:val="000123AE"/>
    <w:rsid w:val="00012703"/>
    <w:rsid w:val="0001485E"/>
    <w:rsid w:val="00021BFE"/>
    <w:rsid w:val="000250D6"/>
    <w:rsid w:val="00025ACC"/>
    <w:rsid w:val="00026171"/>
    <w:rsid w:val="00033881"/>
    <w:rsid w:val="000351AE"/>
    <w:rsid w:val="00043778"/>
    <w:rsid w:val="0005468C"/>
    <w:rsid w:val="00060318"/>
    <w:rsid w:val="00062AC6"/>
    <w:rsid w:val="00067035"/>
    <w:rsid w:val="00070121"/>
    <w:rsid w:val="0007139F"/>
    <w:rsid w:val="00073895"/>
    <w:rsid w:val="000778D0"/>
    <w:rsid w:val="00080C9B"/>
    <w:rsid w:val="0008132B"/>
    <w:rsid w:val="00081360"/>
    <w:rsid w:val="00081B51"/>
    <w:rsid w:val="0008253E"/>
    <w:rsid w:val="0009436D"/>
    <w:rsid w:val="000943B0"/>
    <w:rsid w:val="00094A28"/>
    <w:rsid w:val="00094C66"/>
    <w:rsid w:val="000962E4"/>
    <w:rsid w:val="00097D40"/>
    <w:rsid w:val="000A287B"/>
    <w:rsid w:val="000A5C81"/>
    <w:rsid w:val="000A766B"/>
    <w:rsid w:val="000A76B3"/>
    <w:rsid w:val="000B65E2"/>
    <w:rsid w:val="000C0018"/>
    <w:rsid w:val="000C1A9B"/>
    <w:rsid w:val="000C1C80"/>
    <w:rsid w:val="000C2AB5"/>
    <w:rsid w:val="000C4710"/>
    <w:rsid w:val="000D4336"/>
    <w:rsid w:val="000D49B4"/>
    <w:rsid w:val="000E08CB"/>
    <w:rsid w:val="000E5673"/>
    <w:rsid w:val="000E6375"/>
    <w:rsid w:val="000E6D00"/>
    <w:rsid w:val="000F2186"/>
    <w:rsid w:val="000F2A12"/>
    <w:rsid w:val="000F2ECC"/>
    <w:rsid w:val="000F55AD"/>
    <w:rsid w:val="001011FC"/>
    <w:rsid w:val="00102618"/>
    <w:rsid w:val="00105423"/>
    <w:rsid w:val="00106180"/>
    <w:rsid w:val="001119B6"/>
    <w:rsid w:val="00115124"/>
    <w:rsid w:val="00117F0F"/>
    <w:rsid w:val="00125158"/>
    <w:rsid w:val="00130FB8"/>
    <w:rsid w:val="0014098E"/>
    <w:rsid w:val="00145C44"/>
    <w:rsid w:val="001530C6"/>
    <w:rsid w:val="00167741"/>
    <w:rsid w:val="00172A27"/>
    <w:rsid w:val="001735B4"/>
    <w:rsid w:val="001748A3"/>
    <w:rsid w:val="00182B11"/>
    <w:rsid w:val="00183B4A"/>
    <w:rsid w:val="00185F10"/>
    <w:rsid w:val="00187033"/>
    <w:rsid w:val="00193C1D"/>
    <w:rsid w:val="001978D3"/>
    <w:rsid w:val="001A093D"/>
    <w:rsid w:val="001A0CCF"/>
    <w:rsid w:val="001A2E05"/>
    <w:rsid w:val="001A374D"/>
    <w:rsid w:val="001A3DCB"/>
    <w:rsid w:val="001A4491"/>
    <w:rsid w:val="001A4684"/>
    <w:rsid w:val="001A6F40"/>
    <w:rsid w:val="001B0E6B"/>
    <w:rsid w:val="001B70EC"/>
    <w:rsid w:val="001B7FEF"/>
    <w:rsid w:val="001C30C7"/>
    <w:rsid w:val="001E1433"/>
    <w:rsid w:val="001E1467"/>
    <w:rsid w:val="001F2208"/>
    <w:rsid w:val="001F4134"/>
    <w:rsid w:val="001F45EE"/>
    <w:rsid w:val="001F4850"/>
    <w:rsid w:val="00204A5C"/>
    <w:rsid w:val="00207A0B"/>
    <w:rsid w:val="00212A53"/>
    <w:rsid w:val="0021322F"/>
    <w:rsid w:val="00213B90"/>
    <w:rsid w:val="00215224"/>
    <w:rsid w:val="00215AF0"/>
    <w:rsid w:val="002205E6"/>
    <w:rsid w:val="00221B9D"/>
    <w:rsid w:val="002229E2"/>
    <w:rsid w:val="0022434B"/>
    <w:rsid w:val="00224F0A"/>
    <w:rsid w:val="0023423F"/>
    <w:rsid w:val="002365BE"/>
    <w:rsid w:val="00237B0E"/>
    <w:rsid w:val="002430C2"/>
    <w:rsid w:val="00251A49"/>
    <w:rsid w:val="002525AF"/>
    <w:rsid w:val="0025460A"/>
    <w:rsid w:val="002558A4"/>
    <w:rsid w:val="00255D0D"/>
    <w:rsid w:val="00260C77"/>
    <w:rsid w:val="00261352"/>
    <w:rsid w:val="00263F0B"/>
    <w:rsid w:val="00264EB1"/>
    <w:rsid w:val="00267104"/>
    <w:rsid w:val="00276C71"/>
    <w:rsid w:val="00281526"/>
    <w:rsid w:val="00284601"/>
    <w:rsid w:val="00285406"/>
    <w:rsid w:val="00294D9A"/>
    <w:rsid w:val="002A552C"/>
    <w:rsid w:val="002A65ED"/>
    <w:rsid w:val="002B5C20"/>
    <w:rsid w:val="002C0C29"/>
    <w:rsid w:val="002C7B9B"/>
    <w:rsid w:val="002D11A0"/>
    <w:rsid w:val="002D2B90"/>
    <w:rsid w:val="002D6F32"/>
    <w:rsid w:val="002E1DAC"/>
    <w:rsid w:val="002E2461"/>
    <w:rsid w:val="002E5A14"/>
    <w:rsid w:val="002E6D05"/>
    <w:rsid w:val="002F2BB9"/>
    <w:rsid w:val="002F3394"/>
    <w:rsid w:val="002F72A0"/>
    <w:rsid w:val="00302CFF"/>
    <w:rsid w:val="00306F3F"/>
    <w:rsid w:val="00311324"/>
    <w:rsid w:val="003122C4"/>
    <w:rsid w:val="0032031D"/>
    <w:rsid w:val="00321647"/>
    <w:rsid w:val="00321989"/>
    <w:rsid w:val="003243EC"/>
    <w:rsid w:val="003247CD"/>
    <w:rsid w:val="003362AD"/>
    <w:rsid w:val="00342688"/>
    <w:rsid w:val="0034440E"/>
    <w:rsid w:val="00347899"/>
    <w:rsid w:val="003518D6"/>
    <w:rsid w:val="00354B7A"/>
    <w:rsid w:val="00357158"/>
    <w:rsid w:val="0035717C"/>
    <w:rsid w:val="003638D6"/>
    <w:rsid w:val="00363966"/>
    <w:rsid w:val="003741B0"/>
    <w:rsid w:val="00374D03"/>
    <w:rsid w:val="0038240C"/>
    <w:rsid w:val="0038359A"/>
    <w:rsid w:val="00387996"/>
    <w:rsid w:val="00391F03"/>
    <w:rsid w:val="0039608E"/>
    <w:rsid w:val="00397FA1"/>
    <w:rsid w:val="003A1857"/>
    <w:rsid w:val="003A2368"/>
    <w:rsid w:val="003A27AF"/>
    <w:rsid w:val="003A593E"/>
    <w:rsid w:val="003A6775"/>
    <w:rsid w:val="003C0D7D"/>
    <w:rsid w:val="003C4858"/>
    <w:rsid w:val="003C5BB3"/>
    <w:rsid w:val="003D1170"/>
    <w:rsid w:val="003D1B8E"/>
    <w:rsid w:val="003D2393"/>
    <w:rsid w:val="003D2D72"/>
    <w:rsid w:val="003D36EE"/>
    <w:rsid w:val="003D6E0A"/>
    <w:rsid w:val="003F3518"/>
    <w:rsid w:val="003F504F"/>
    <w:rsid w:val="003F5101"/>
    <w:rsid w:val="003F5B69"/>
    <w:rsid w:val="003F639B"/>
    <w:rsid w:val="00404AF6"/>
    <w:rsid w:val="004105EF"/>
    <w:rsid w:val="00415A1A"/>
    <w:rsid w:val="004178DF"/>
    <w:rsid w:val="0042326A"/>
    <w:rsid w:val="00423F96"/>
    <w:rsid w:val="00430878"/>
    <w:rsid w:val="00431F4F"/>
    <w:rsid w:val="0043351E"/>
    <w:rsid w:val="00433676"/>
    <w:rsid w:val="0043613F"/>
    <w:rsid w:val="00436504"/>
    <w:rsid w:val="004405C7"/>
    <w:rsid w:val="00441D39"/>
    <w:rsid w:val="00442AF8"/>
    <w:rsid w:val="0044514A"/>
    <w:rsid w:val="0044616E"/>
    <w:rsid w:val="00447E59"/>
    <w:rsid w:val="00457DC2"/>
    <w:rsid w:val="004733D3"/>
    <w:rsid w:val="00487315"/>
    <w:rsid w:val="00494624"/>
    <w:rsid w:val="00495001"/>
    <w:rsid w:val="004A112E"/>
    <w:rsid w:val="004A1631"/>
    <w:rsid w:val="004A76F2"/>
    <w:rsid w:val="004B23B4"/>
    <w:rsid w:val="004B51E3"/>
    <w:rsid w:val="004B58BC"/>
    <w:rsid w:val="004B64B2"/>
    <w:rsid w:val="004B6ED7"/>
    <w:rsid w:val="004D1209"/>
    <w:rsid w:val="004D4247"/>
    <w:rsid w:val="004D67CC"/>
    <w:rsid w:val="004D7237"/>
    <w:rsid w:val="004D794D"/>
    <w:rsid w:val="004D7FCB"/>
    <w:rsid w:val="004E0C05"/>
    <w:rsid w:val="004E3473"/>
    <w:rsid w:val="004F1425"/>
    <w:rsid w:val="004F3309"/>
    <w:rsid w:val="004F5BB8"/>
    <w:rsid w:val="00500A8F"/>
    <w:rsid w:val="005034E3"/>
    <w:rsid w:val="0050739A"/>
    <w:rsid w:val="005100DC"/>
    <w:rsid w:val="00511660"/>
    <w:rsid w:val="0051251B"/>
    <w:rsid w:val="00512A0D"/>
    <w:rsid w:val="00517CCE"/>
    <w:rsid w:val="005229A0"/>
    <w:rsid w:val="00522D50"/>
    <w:rsid w:val="00525503"/>
    <w:rsid w:val="00527D92"/>
    <w:rsid w:val="00531BAF"/>
    <w:rsid w:val="00537781"/>
    <w:rsid w:val="005409DB"/>
    <w:rsid w:val="00542C62"/>
    <w:rsid w:val="00543F5F"/>
    <w:rsid w:val="00545698"/>
    <w:rsid w:val="00546149"/>
    <w:rsid w:val="005470BA"/>
    <w:rsid w:val="00550148"/>
    <w:rsid w:val="00555089"/>
    <w:rsid w:val="005565F1"/>
    <w:rsid w:val="00562259"/>
    <w:rsid w:val="005655BD"/>
    <w:rsid w:val="00566ADA"/>
    <w:rsid w:val="00571F99"/>
    <w:rsid w:val="00573B46"/>
    <w:rsid w:val="00573C8F"/>
    <w:rsid w:val="00576C5E"/>
    <w:rsid w:val="00577C17"/>
    <w:rsid w:val="00580957"/>
    <w:rsid w:val="005824FB"/>
    <w:rsid w:val="005826AA"/>
    <w:rsid w:val="00586955"/>
    <w:rsid w:val="00592226"/>
    <w:rsid w:val="00594240"/>
    <w:rsid w:val="005955BA"/>
    <w:rsid w:val="00596DFD"/>
    <w:rsid w:val="005A0B59"/>
    <w:rsid w:val="005A0E9F"/>
    <w:rsid w:val="005A175C"/>
    <w:rsid w:val="005A245A"/>
    <w:rsid w:val="005A2C7B"/>
    <w:rsid w:val="005A328C"/>
    <w:rsid w:val="005B0F9A"/>
    <w:rsid w:val="005B0FFD"/>
    <w:rsid w:val="005B1A42"/>
    <w:rsid w:val="005B4DB1"/>
    <w:rsid w:val="005C162E"/>
    <w:rsid w:val="005C417A"/>
    <w:rsid w:val="005D22FC"/>
    <w:rsid w:val="005D3D41"/>
    <w:rsid w:val="005D5C7C"/>
    <w:rsid w:val="005D736F"/>
    <w:rsid w:val="005E1CE2"/>
    <w:rsid w:val="005E4F70"/>
    <w:rsid w:val="005E7CE8"/>
    <w:rsid w:val="005F162E"/>
    <w:rsid w:val="005F16C3"/>
    <w:rsid w:val="005F328B"/>
    <w:rsid w:val="005F74F3"/>
    <w:rsid w:val="00605A28"/>
    <w:rsid w:val="006109EF"/>
    <w:rsid w:val="006132BE"/>
    <w:rsid w:val="00614E98"/>
    <w:rsid w:val="0062295C"/>
    <w:rsid w:val="00623AD2"/>
    <w:rsid w:val="00632B51"/>
    <w:rsid w:val="00633021"/>
    <w:rsid w:val="00636962"/>
    <w:rsid w:val="006376A9"/>
    <w:rsid w:val="00641EF1"/>
    <w:rsid w:val="006438E7"/>
    <w:rsid w:val="00644C71"/>
    <w:rsid w:val="006462FA"/>
    <w:rsid w:val="00651E98"/>
    <w:rsid w:val="00657340"/>
    <w:rsid w:val="00660EBB"/>
    <w:rsid w:val="00663119"/>
    <w:rsid w:val="00663CC5"/>
    <w:rsid w:val="00670660"/>
    <w:rsid w:val="00675445"/>
    <w:rsid w:val="006806AB"/>
    <w:rsid w:val="00684D69"/>
    <w:rsid w:val="0068658D"/>
    <w:rsid w:val="00686AF3"/>
    <w:rsid w:val="006928F3"/>
    <w:rsid w:val="006952F5"/>
    <w:rsid w:val="006A0150"/>
    <w:rsid w:val="006A350C"/>
    <w:rsid w:val="006A5596"/>
    <w:rsid w:val="006A6269"/>
    <w:rsid w:val="006A6A9F"/>
    <w:rsid w:val="006A6FD3"/>
    <w:rsid w:val="006B4620"/>
    <w:rsid w:val="006C1B42"/>
    <w:rsid w:val="006C56C9"/>
    <w:rsid w:val="006D144F"/>
    <w:rsid w:val="006D567B"/>
    <w:rsid w:val="006D63C3"/>
    <w:rsid w:val="006D7154"/>
    <w:rsid w:val="006D79F6"/>
    <w:rsid w:val="006E0B76"/>
    <w:rsid w:val="006E0D91"/>
    <w:rsid w:val="006E1665"/>
    <w:rsid w:val="006E1CF0"/>
    <w:rsid w:val="006E2EB3"/>
    <w:rsid w:val="006E3EAB"/>
    <w:rsid w:val="006E521B"/>
    <w:rsid w:val="006F30B4"/>
    <w:rsid w:val="006F46C3"/>
    <w:rsid w:val="006F6474"/>
    <w:rsid w:val="006F6E12"/>
    <w:rsid w:val="00701616"/>
    <w:rsid w:val="00701A84"/>
    <w:rsid w:val="00705859"/>
    <w:rsid w:val="00706041"/>
    <w:rsid w:val="00710F59"/>
    <w:rsid w:val="007123AF"/>
    <w:rsid w:val="00712A96"/>
    <w:rsid w:val="00712FF3"/>
    <w:rsid w:val="00721056"/>
    <w:rsid w:val="00725C94"/>
    <w:rsid w:val="00726A6C"/>
    <w:rsid w:val="00726B23"/>
    <w:rsid w:val="00726DB7"/>
    <w:rsid w:val="007275F5"/>
    <w:rsid w:val="00727E29"/>
    <w:rsid w:val="00733083"/>
    <w:rsid w:val="00734430"/>
    <w:rsid w:val="007404E5"/>
    <w:rsid w:val="00742AD8"/>
    <w:rsid w:val="00742B21"/>
    <w:rsid w:val="00744517"/>
    <w:rsid w:val="007445A6"/>
    <w:rsid w:val="00750137"/>
    <w:rsid w:val="0075115C"/>
    <w:rsid w:val="007523EF"/>
    <w:rsid w:val="00755157"/>
    <w:rsid w:val="00766147"/>
    <w:rsid w:val="00766DD4"/>
    <w:rsid w:val="00770518"/>
    <w:rsid w:val="007724D2"/>
    <w:rsid w:val="00772E30"/>
    <w:rsid w:val="007769FC"/>
    <w:rsid w:val="00777B21"/>
    <w:rsid w:val="00780139"/>
    <w:rsid w:val="00780470"/>
    <w:rsid w:val="007861D1"/>
    <w:rsid w:val="00790A94"/>
    <w:rsid w:val="007911B2"/>
    <w:rsid w:val="00797ACE"/>
    <w:rsid w:val="007A08F7"/>
    <w:rsid w:val="007A1E5B"/>
    <w:rsid w:val="007A36C9"/>
    <w:rsid w:val="007A5188"/>
    <w:rsid w:val="007A6512"/>
    <w:rsid w:val="007A67FD"/>
    <w:rsid w:val="007A7F42"/>
    <w:rsid w:val="007B3D71"/>
    <w:rsid w:val="007B3F27"/>
    <w:rsid w:val="007B5213"/>
    <w:rsid w:val="007B7DDF"/>
    <w:rsid w:val="007C2594"/>
    <w:rsid w:val="007C292F"/>
    <w:rsid w:val="007D07A2"/>
    <w:rsid w:val="007D16DC"/>
    <w:rsid w:val="007D4C26"/>
    <w:rsid w:val="007D5CBB"/>
    <w:rsid w:val="007D6572"/>
    <w:rsid w:val="007D7740"/>
    <w:rsid w:val="007D7DAC"/>
    <w:rsid w:val="007E0563"/>
    <w:rsid w:val="007E6590"/>
    <w:rsid w:val="007E7754"/>
    <w:rsid w:val="007E78FD"/>
    <w:rsid w:val="007F0FAC"/>
    <w:rsid w:val="007F33A5"/>
    <w:rsid w:val="007F55F9"/>
    <w:rsid w:val="007F6A96"/>
    <w:rsid w:val="008016DA"/>
    <w:rsid w:val="00803D1B"/>
    <w:rsid w:val="00804854"/>
    <w:rsid w:val="00805D01"/>
    <w:rsid w:val="00814ACE"/>
    <w:rsid w:val="0081682E"/>
    <w:rsid w:val="00817859"/>
    <w:rsid w:val="00822B05"/>
    <w:rsid w:val="00823971"/>
    <w:rsid w:val="00826534"/>
    <w:rsid w:val="00826C28"/>
    <w:rsid w:val="00827002"/>
    <w:rsid w:val="00833E5B"/>
    <w:rsid w:val="00842D0A"/>
    <w:rsid w:val="00842DD8"/>
    <w:rsid w:val="0084602F"/>
    <w:rsid w:val="00847755"/>
    <w:rsid w:val="00851FB3"/>
    <w:rsid w:val="0085267C"/>
    <w:rsid w:val="0085332E"/>
    <w:rsid w:val="008567AE"/>
    <w:rsid w:val="00857315"/>
    <w:rsid w:val="008602E0"/>
    <w:rsid w:val="008625DD"/>
    <w:rsid w:val="008631FE"/>
    <w:rsid w:val="00865A18"/>
    <w:rsid w:val="00877557"/>
    <w:rsid w:val="00877B50"/>
    <w:rsid w:val="00880C4E"/>
    <w:rsid w:val="00884568"/>
    <w:rsid w:val="00886D39"/>
    <w:rsid w:val="008936E5"/>
    <w:rsid w:val="008A0C4A"/>
    <w:rsid w:val="008A3781"/>
    <w:rsid w:val="008A4F8A"/>
    <w:rsid w:val="008A5485"/>
    <w:rsid w:val="008A6265"/>
    <w:rsid w:val="008A66F3"/>
    <w:rsid w:val="008B4958"/>
    <w:rsid w:val="008C1519"/>
    <w:rsid w:val="008C183E"/>
    <w:rsid w:val="008C4D93"/>
    <w:rsid w:val="008D0EA5"/>
    <w:rsid w:val="008D1879"/>
    <w:rsid w:val="008D2B4F"/>
    <w:rsid w:val="008F2DB6"/>
    <w:rsid w:val="008F49D4"/>
    <w:rsid w:val="008F78BF"/>
    <w:rsid w:val="0090152F"/>
    <w:rsid w:val="00905AE6"/>
    <w:rsid w:val="00907DF7"/>
    <w:rsid w:val="009102B1"/>
    <w:rsid w:val="00913DA9"/>
    <w:rsid w:val="00915BD0"/>
    <w:rsid w:val="009165B6"/>
    <w:rsid w:val="0091764F"/>
    <w:rsid w:val="00921BA3"/>
    <w:rsid w:val="00922D1D"/>
    <w:rsid w:val="0092577B"/>
    <w:rsid w:val="00926831"/>
    <w:rsid w:val="00937163"/>
    <w:rsid w:val="00942FF5"/>
    <w:rsid w:val="00943B39"/>
    <w:rsid w:val="00943F58"/>
    <w:rsid w:val="0094443B"/>
    <w:rsid w:val="0094784E"/>
    <w:rsid w:val="0094793B"/>
    <w:rsid w:val="00956336"/>
    <w:rsid w:val="0096197F"/>
    <w:rsid w:val="009635CE"/>
    <w:rsid w:val="00964882"/>
    <w:rsid w:val="009678EF"/>
    <w:rsid w:val="00972737"/>
    <w:rsid w:val="00972D10"/>
    <w:rsid w:val="00976894"/>
    <w:rsid w:val="00976EFF"/>
    <w:rsid w:val="0098095B"/>
    <w:rsid w:val="00981293"/>
    <w:rsid w:val="009816BB"/>
    <w:rsid w:val="00984168"/>
    <w:rsid w:val="0098473F"/>
    <w:rsid w:val="0098548A"/>
    <w:rsid w:val="00987946"/>
    <w:rsid w:val="00987A98"/>
    <w:rsid w:val="009914DB"/>
    <w:rsid w:val="00993DD3"/>
    <w:rsid w:val="0099765D"/>
    <w:rsid w:val="009A21F7"/>
    <w:rsid w:val="009A4E18"/>
    <w:rsid w:val="009A6828"/>
    <w:rsid w:val="009B115E"/>
    <w:rsid w:val="009B54E6"/>
    <w:rsid w:val="009C42F0"/>
    <w:rsid w:val="009C5D2B"/>
    <w:rsid w:val="009D0A6C"/>
    <w:rsid w:val="009D6E37"/>
    <w:rsid w:val="009E0F17"/>
    <w:rsid w:val="009E280D"/>
    <w:rsid w:val="009E77CE"/>
    <w:rsid w:val="009F0479"/>
    <w:rsid w:val="009F1AC6"/>
    <w:rsid w:val="009F3D52"/>
    <w:rsid w:val="009F42B3"/>
    <w:rsid w:val="009F46DE"/>
    <w:rsid w:val="009F484D"/>
    <w:rsid w:val="009F7053"/>
    <w:rsid w:val="00A00218"/>
    <w:rsid w:val="00A01041"/>
    <w:rsid w:val="00A013E6"/>
    <w:rsid w:val="00A059CF"/>
    <w:rsid w:val="00A05EDA"/>
    <w:rsid w:val="00A160BA"/>
    <w:rsid w:val="00A161A9"/>
    <w:rsid w:val="00A20C87"/>
    <w:rsid w:val="00A214E6"/>
    <w:rsid w:val="00A236AA"/>
    <w:rsid w:val="00A239C4"/>
    <w:rsid w:val="00A24AE5"/>
    <w:rsid w:val="00A27544"/>
    <w:rsid w:val="00A27AD2"/>
    <w:rsid w:val="00A306C0"/>
    <w:rsid w:val="00A31FBE"/>
    <w:rsid w:val="00A33FE5"/>
    <w:rsid w:val="00A443E0"/>
    <w:rsid w:val="00A51D94"/>
    <w:rsid w:val="00A5488D"/>
    <w:rsid w:val="00A549E2"/>
    <w:rsid w:val="00A577AB"/>
    <w:rsid w:val="00A63667"/>
    <w:rsid w:val="00A64CFB"/>
    <w:rsid w:val="00A660F9"/>
    <w:rsid w:val="00A663FC"/>
    <w:rsid w:val="00A66877"/>
    <w:rsid w:val="00A7108D"/>
    <w:rsid w:val="00A71821"/>
    <w:rsid w:val="00A72400"/>
    <w:rsid w:val="00A7285D"/>
    <w:rsid w:val="00A75AAB"/>
    <w:rsid w:val="00A77C2A"/>
    <w:rsid w:val="00A8366F"/>
    <w:rsid w:val="00A86BC1"/>
    <w:rsid w:val="00A909F4"/>
    <w:rsid w:val="00A90FFC"/>
    <w:rsid w:val="00A91527"/>
    <w:rsid w:val="00A93CEE"/>
    <w:rsid w:val="00A95DBF"/>
    <w:rsid w:val="00A97ECB"/>
    <w:rsid w:val="00AA3302"/>
    <w:rsid w:val="00AA77E6"/>
    <w:rsid w:val="00AB22FD"/>
    <w:rsid w:val="00AB249C"/>
    <w:rsid w:val="00AB3141"/>
    <w:rsid w:val="00AB5EF7"/>
    <w:rsid w:val="00AB609D"/>
    <w:rsid w:val="00AB66B8"/>
    <w:rsid w:val="00AC0D1C"/>
    <w:rsid w:val="00AC2268"/>
    <w:rsid w:val="00AD4BF6"/>
    <w:rsid w:val="00AD75D8"/>
    <w:rsid w:val="00AD7CAC"/>
    <w:rsid w:val="00AD7DE4"/>
    <w:rsid w:val="00AE2EAF"/>
    <w:rsid w:val="00AE3D01"/>
    <w:rsid w:val="00AE4FC4"/>
    <w:rsid w:val="00AE5260"/>
    <w:rsid w:val="00AE5CF7"/>
    <w:rsid w:val="00AE67B6"/>
    <w:rsid w:val="00AF08A4"/>
    <w:rsid w:val="00AF1A19"/>
    <w:rsid w:val="00AF3442"/>
    <w:rsid w:val="00AF49A0"/>
    <w:rsid w:val="00AF5D13"/>
    <w:rsid w:val="00AF7CFA"/>
    <w:rsid w:val="00B05EB7"/>
    <w:rsid w:val="00B0641E"/>
    <w:rsid w:val="00B065F5"/>
    <w:rsid w:val="00B17226"/>
    <w:rsid w:val="00B1739F"/>
    <w:rsid w:val="00B17C7E"/>
    <w:rsid w:val="00B20435"/>
    <w:rsid w:val="00B2193F"/>
    <w:rsid w:val="00B34169"/>
    <w:rsid w:val="00B37C5F"/>
    <w:rsid w:val="00B40DB4"/>
    <w:rsid w:val="00B43529"/>
    <w:rsid w:val="00B45828"/>
    <w:rsid w:val="00B46489"/>
    <w:rsid w:val="00B50C16"/>
    <w:rsid w:val="00B51385"/>
    <w:rsid w:val="00B51807"/>
    <w:rsid w:val="00B51D11"/>
    <w:rsid w:val="00B52304"/>
    <w:rsid w:val="00B568D1"/>
    <w:rsid w:val="00B56F9E"/>
    <w:rsid w:val="00B6040F"/>
    <w:rsid w:val="00B60C4A"/>
    <w:rsid w:val="00B60D18"/>
    <w:rsid w:val="00B70AB4"/>
    <w:rsid w:val="00B70E4F"/>
    <w:rsid w:val="00B73DC0"/>
    <w:rsid w:val="00B76B4B"/>
    <w:rsid w:val="00B82CF7"/>
    <w:rsid w:val="00B82E6C"/>
    <w:rsid w:val="00B83DB7"/>
    <w:rsid w:val="00B83E5B"/>
    <w:rsid w:val="00B840FF"/>
    <w:rsid w:val="00B850F5"/>
    <w:rsid w:val="00B86D09"/>
    <w:rsid w:val="00B923D8"/>
    <w:rsid w:val="00B924CB"/>
    <w:rsid w:val="00BA1742"/>
    <w:rsid w:val="00BA6A1E"/>
    <w:rsid w:val="00BA73D9"/>
    <w:rsid w:val="00BA779B"/>
    <w:rsid w:val="00BA7B36"/>
    <w:rsid w:val="00BB01DA"/>
    <w:rsid w:val="00BB14E3"/>
    <w:rsid w:val="00BB6955"/>
    <w:rsid w:val="00BC31D7"/>
    <w:rsid w:val="00BC62D1"/>
    <w:rsid w:val="00BC7BDB"/>
    <w:rsid w:val="00BD0888"/>
    <w:rsid w:val="00BD2382"/>
    <w:rsid w:val="00BD3434"/>
    <w:rsid w:val="00BD38A7"/>
    <w:rsid w:val="00BD3964"/>
    <w:rsid w:val="00BD4CB1"/>
    <w:rsid w:val="00BD5685"/>
    <w:rsid w:val="00BD58EC"/>
    <w:rsid w:val="00BD5F19"/>
    <w:rsid w:val="00BD6C5E"/>
    <w:rsid w:val="00BD7122"/>
    <w:rsid w:val="00BE1F7A"/>
    <w:rsid w:val="00BE4390"/>
    <w:rsid w:val="00BF1F32"/>
    <w:rsid w:val="00BF7CA8"/>
    <w:rsid w:val="00C000E6"/>
    <w:rsid w:val="00C02BBC"/>
    <w:rsid w:val="00C10A53"/>
    <w:rsid w:val="00C11B1A"/>
    <w:rsid w:val="00C13744"/>
    <w:rsid w:val="00C1558A"/>
    <w:rsid w:val="00C16E65"/>
    <w:rsid w:val="00C26A17"/>
    <w:rsid w:val="00C409F2"/>
    <w:rsid w:val="00C40EFF"/>
    <w:rsid w:val="00C426BD"/>
    <w:rsid w:val="00C428F5"/>
    <w:rsid w:val="00C452D2"/>
    <w:rsid w:val="00C473A5"/>
    <w:rsid w:val="00C50F27"/>
    <w:rsid w:val="00C561A1"/>
    <w:rsid w:val="00C57185"/>
    <w:rsid w:val="00C60374"/>
    <w:rsid w:val="00C65F10"/>
    <w:rsid w:val="00C737E3"/>
    <w:rsid w:val="00C74CE6"/>
    <w:rsid w:val="00C750F1"/>
    <w:rsid w:val="00C75D0D"/>
    <w:rsid w:val="00C77D07"/>
    <w:rsid w:val="00C80319"/>
    <w:rsid w:val="00C8459E"/>
    <w:rsid w:val="00C9312C"/>
    <w:rsid w:val="00C97B27"/>
    <w:rsid w:val="00CA54D2"/>
    <w:rsid w:val="00CB0E0C"/>
    <w:rsid w:val="00CB10FE"/>
    <w:rsid w:val="00CB1F5E"/>
    <w:rsid w:val="00CB2000"/>
    <w:rsid w:val="00CB301F"/>
    <w:rsid w:val="00CB621C"/>
    <w:rsid w:val="00CC02F2"/>
    <w:rsid w:val="00CC247B"/>
    <w:rsid w:val="00CC69FA"/>
    <w:rsid w:val="00CC6B34"/>
    <w:rsid w:val="00CD09B4"/>
    <w:rsid w:val="00CD6EE8"/>
    <w:rsid w:val="00CD737F"/>
    <w:rsid w:val="00CD7773"/>
    <w:rsid w:val="00CE4AF8"/>
    <w:rsid w:val="00CE691B"/>
    <w:rsid w:val="00CE78B9"/>
    <w:rsid w:val="00CF48A1"/>
    <w:rsid w:val="00CF5CD9"/>
    <w:rsid w:val="00CF67F1"/>
    <w:rsid w:val="00D01E73"/>
    <w:rsid w:val="00D0314D"/>
    <w:rsid w:val="00D0344C"/>
    <w:rsid w:val="00D0532F"/>
    <w:rsid w:val="00D05F0E"/>
    <w:rsid w:val="00D10DA3"/>
    <w:rsid w:val="00D13DA8"/>
    <w:rsid w:val="00D148C4"/>
    <w:rsid w:val="00D2665C"/>
    <w:rsid w:val="00D31A22"/>
    <w:rsid w:val="00D32CAD"/>
    <w:rsid w:val="00D32CD6"/>
    <w:rsid w:val="00D355AF"/>
    <w:rsid w:val="00D4185E"/>
    <w:rsid w:val="00D424F4"/>
    <w:rsid w:val="00D4426F"/>
    <w:rsid w:val="00D445A5"/>
    <w:rsid w:val="00D47B11"/>
    <w:rsid w:val="00D57A5C"/>
    <w:rsid w:val="00D61E00"/>
    <w:rsid w:val="00D63DC7"/>
    <w:rsid w:val="00D63E88"/>
    <w:rsid w:val="00D63F80"/>
    <w:rsid w:val="00D70B9C"/>
    <w:rsid w:val="00D71AF2"/>
    <w:rsid w:val="00D73671"/>
    <w:rsid w:val="00D74914"/>
    <w:rsid w:val="00D7638D"/>
    <w:rsid w:val="00D765FC"/>
    <w:rsid w:val="00D81319"/>
    <w:rsid w:val="00D8264B"/>
    <w:rsid w:val="00D8313F"/>
    <w:rsid w:val="00D9028D"/>
    <w:rsid w:val="00D90E2B"/>
    <w:rsid w:val="00D91F21"/>
    <w:rsid w:val="00D935CD"/>
    <w:rsid w:val="00D94273"/>
    <w:rsid w:val="00D944A0"/>
    <w:rsid w:val="00D946E9"/>
    <w:rsid w:val="00DA0916"/>
    <w:rsid w:val="00DA7EB6"/>
    <w:rsid w:val="00DB17DE"/>
    <w:rsid w:val="00DB1F46"/>
    <w:rsid w:val="00DB2502"/>
    <w:rsid w:val="00DB3854"/>
    <w:rsid w:val="00DB45CC"/>
    <w:rsid w:val="00DB7E41"/>
    <w:rsid w:val="00DC1BF6"/>
    <w:rsid w:val="00DC3A4D"/>
    <w:rsid w:val="00DC4FA6"/>
    <w:rsid w:val="00DC500F"/>
    <w:rsid w:val="00DC76AE"/>
    <w:rsid w:val="00DD230C"/>
    <w:rsid w:val="00DD2358"/>
    <w:rsid w:val="00DE0C34"/>
    <w:rsid w:val="00DE1D60"/>
    <w:rsid w:val="00DE2DF3"/>
    <w:rsid w:val="00DE3B31"/>
    <w:rsid w:val="00DE6CF5"/>
    <w:rsid w:val="00DE7014"/>
    <w:rsid w:val="00DF4FA0"/>
    <w:rsid w:val="00DF58D7"/>
    <w:rsid w:val="00E00B48"/>
    <w:rsid w:val="00E030EE"/>
    <w:rsid w:val="00E108C3"/>
    <w:rsid w:val="00E11F03"/>
    <w:rsid w:val="00E120B9"/>
    <w:rsid w:val="00E13758"/>
    <w:rsid w:val="00E148F3"/>
    <w:rsid w:val="00E151DA"/>
    <w:rsid w:val="00E15382"/>
    <w:rsid w:val="00E15ED9"/>
    <w:rsid w:val="00E20944"/>
    <w:rsid w:val="00E238A2"/>
    <w:rsid w:val="00E27256"/>
    <w:rsid w:val="00E3243B"/>
    <w:rsid w:val="00E335D8"/>
    <w:rsid w:val="00E33707"/>
    <w:rsid w:val="00E34005"/>
    <w:rsid w:val="00E40E23"/>
    <w:rsid w:val="00E413AB"/>
    <w:rsid w:val="00E43274"/>
    <w:rsid w:val="00E4665E"/>
    <w:rsid w:val="00E53F38"/>
    <w:rsid w:val="00E623D3"/>
    <w:rsid w:val="00E64E71"/>
    <w:rsid w:val="00E73E35"/>
    <w:rsid w:val="00E751FC"/>
    <w:rsid w:val="00E766FC"/>
    <w:rsid w:val="00E807BA"/>
    <w:rsid w:val="00E80F7E"/>
    <w:rsid w:val="00E8164C"/>
    <w:rsid w:val="00E82B5F"/>
    <w:rsid w:val="00E90D94"/>
    <w:rsid w:val="00E9160C"/>
    <w:rsid w:val="00E91F34"/>
    <w:rsid w:val="00E95194"/>
    <w:rsid w:val="00E96F65"/>
    <w:rsid w:val="00EA4D2D"/>
    <w:rsid w:val="00EA5BBB"/>
    <w:rsid w:val="00EB10A7"/>
    <w:rsid w:val="00EB2328"/>
    <w:rsid w:val="00EB48A2"/>
    <w:rsid w:val="00EB6DE7"/>
    <w:rsid w:val="00EB71F5"/>
    <w:rsid w:val="00EC4440"/>
    <w:rsid w:val="00EC6890"/>
    <w:rsid w:val="00ED4311"/>
    <w:rsid w:val="00ED694A"/>
    <w:rsid w:val="00ED76D9"/>
    <w:rsid w:val="00EF1582"/>
    <w:rsid w:val="00F0031B"/>
    <w:rsid w:val="00F060A4"/>
    <w:rsid w:val="00F06124"/>
    <w:rsid w:val="00F07523"/>
    <w:rsid w:val="00F10F7C"/>
    <w:rsid w:val="00F15D39"/>
    <w:rsid w:val="00F16B10"/>
    <w:rsid w:val="00F231AB"/>
    <w:rsid w:val="00F24BB1"/>
    <w:rsid w:val="00F304EE"/>
    <w:rsid w:val="00F31887"/>
    <w:rsid w:val="00F35671"/>
    <w:rsid w:val="00F37F12"/>
    <w:rsid w:val="00F400C4"/>
    <w:rsid w:val="00F41E90"/>
    <w:rsid w:val="00F4360A"/>
    <w:rsid w:val="00F46198"/>
    <w:rsid w:val="00F4710F"/>
    <w:rsid w:val="00F53A81"/>
    <w:rsid w:val="00F56016"/>
    <w:rsid w:val="00F56636"/>
    <w:rsid w:val="00F57D8D"/>
    <w:rsid w:val="00F60E88"/>
    <w:rsid w:val="00F73B29"/>
    <w:rsid w:val="00F757F6"/>
    <w:rsid w:val="00F823B7"/>
    <w:rsid w:val="00F82B69"/>
    <w:rsid w:val="00F84961"/>
    <w:rsid w:val="00F86321"/>
    <w:rsid w:val="00F91188"/>
    <w:rsid w:val="00F91D3F"/>
    <w:rsid w:val="00F9546C"/>
    <w:rsid w:val="00F96CF9"/>
    <w:rsid w:val="00F97B72"/>
    <w:rsid w:val="00FA10A8"/>
    <w:rsid w:val="00FA1427"/>
    <w:rsid w:val="00FA45BA"/>
    <w:rsid w:val="00FA5296"/>
    <w:rsid w:val="00FA5FD0"/>
    <w:rsid w:val="00FB1F93"/>
    <w:rsid w:val="00FB48DF"/>
    <w:rsid w:val="00FB5972"/>
    <w:rsid w:val="00FB632F"/>
    <w:rsid w:val="00FC3BAF"/>
    <w:rsid w:val="00FC5824"/>
    <w:rsid w:val="00FC5D22"/>
    <w:rsid w:val="00FD01BA"/>
    <w:rsid w:val="00FD0CA5"/>
    <w:rsid w:val="00FD1B32"/>
    <w:rsid w:val="00FD4012"/>
    <w:rsid w:val="00FE20F3"/>
    <w:rsid w:val="00FE4D45"/>
    <w:rsid w:val="00FE7070"/>
    <w:rsid w:val="00FF460F"/>
    <w:rsid w:val="00FF4F25"/>
    <w:rsid w:val="00FF6B57"/>
    <w:rsid w:val="041A2BBA"/>
    <w:rsid w:val="08061294"/>
    <w:rsid w:val="08AB031B"/>
    <w:rsid w:val="0A175FFB"/>
    <w:rsid w:val="0A302207"/>
    <w:rsid w:val="0DE8421C"/>
    <w:rsid w:val="0F0652AB"/>
    <w:rsid w:val="0F9D49AE"/>
    <w:rsid w:val="119F0F2C"/>
    <w:rsid w:val="128041AD"/>
    <w:rsid w:val="12D137A5"/>
    <w:rsid w:val="161173DE"/>
    <w:rsid w:val="19E54FFB"/>
    <w:rsid w:val="1A67268C"/>
    <w:rsid w:val="1EE34D63"/>
    <w:rsid w:val="1EFF4898"/>
    <w:rsid w:val="20A71F1A"/>
    <w:rsid w:val="21F05158"/>
    <w:rsid w:val="23CE6083"/>
    <w:rsid w:val="27732D58"/>
    <w:rsid w:val="2C2B362B"/>
    <w:rsid w:val="2DFEFD21"/>
    <w:rsid w:val="2F75446C"/>
    <w:rsid w:val="30B96BCC"/>
    <w:rsid w:val="31472444"/>
    <w:rsid w:val="34CF5D95"/>
    <w:rsid w:val="36172A35"/>
    <w:rsid w:val="3BBE4E40"/>
    <w:rsid w:val="3D502019"/>
    <w:rsid w:val="3DF61432"/>
    <w:rsid w:val="3EF84E75"/>
    <w:rsid w:val="41D75874"/>
    <w:rsid w:val="440473C5"/>
    <w:rsid w:val="441769A4"/>
    <w:rsid w:val="461B0B54"/>
    <w:rsid w:val="480D7116"/>
    <w:rsid w:val="4AF83509"/>
    <w:rsid w:val="4ED03BC9"/>
    <w:rsid w:val="4F37B38C"/>
    <w:rsid w:val="51D8673D"/>
    <w:rsid w:val="5301527A"/>
    <w:rsid w:val="5605420F"/>
    <w:rsid w:val="567434E3"/>
    <w:rsid w:val="580B4374"/>
    <w:rsid w:val="58F4674B"/>
    <w:rsid w:val="59195718"/>
    <w:rsid w:val="5BC14992"/>
    <w:rsid w:val="5C5E7D9C"/>
    <w:rsid w:val="5E6B5A07"/>
    <w:rsid w:val="5F7BDAF6"/>
    <w:rsid w:val="621E4B26"/>
    <w:rsid w:val="65CE52F9"/>
    <w:rsid w:val="65F5B334"/>
    <w:rsid w:val="66F027B8"/>
    <w:rsid w:val="69535B01"/>
    <w:rsid w:val="69891B7B"/>
    <w:rsid w:val="6C102A26"/>
    <w:rsid w:val="6F4B5ECF"/>
    <w:rsid w:val="6FD70AEB"/>
    <w:rsid w:val="718513C2"/>
    <w:rsid w:val="72FE4AA4"/>
    <w:rsid w:val="746A6F51"/>
    <w:rsid w:val="750215C9"/>
    <w:rsid w:val="7539382C"/>
    <w:rsid w:val="757C7DDC"/>
    <w:rsid w:val="76FE4792"/>
    <w:rsid w:val="7A551C73"/>
    <w:rsid w:val="7CCF69A9"/>
    <w:rsid w:val="7D7D257E"/>
    <w:rsid w:val="7DC13EB3"/>
    <w:rsid w:val="7DDE60A1"/>
    <w:rsid w:val="7DFA25FA"/>
    <w:rsid w:val="7DFC4840"/>
    <w:rsid w:val="7E3664B6"/>
    <w:rsid w:val="7F152680"/>
    <w:rsid w:val="7F3F4F65"/>
    <w:rsid w:val="7F454FFD"/>
    <w:rsid w:val="7F5F4E06"/>
    <w:rsid w:val="7F782680"/>
    <w:rsid w:val="87B7E884"/>
    <w:rsid w:val="AEBF465F"/>
    <w:rsid w:val="B5BBA286"/>
    <w:rsid w:val="B7BCCDA9"/>
    <w:rsid w:val="BFDDE1FE"/>
    <w:rsid w:val="BFFDD67D"/>
    <w:rsid w:val="D7BFE392"/>
    <w:rsid w:val="DDFF3041"/>
    <w:rsid w:val="DEEFE465"/>
    <w:rsid w:val="DEF754ED"/>
    <w:rsid w:val="DFDF5034"/>
    <w:rsid w:val="DFFF62BE"/>
    <w:rsid w:val="E7B9D2E1"/>
    <w:rsid w:val="EDF39F94"/>
    <w:rsid w:val="EEDA8F2B"/>
    <w:rsid w:val="F3FF3270"/>
    <w:rsid w:val="F4FF93CB"/>
    <w:rsid w:val="F5FF4F0D"/>
    <w:rsid w:val="F7FD5FD4"/>
    <w:rsid w:val="F87EDCD9"/>
    <w:rsid w:val="F9D5D95C"/>
    <w:rsid w:val="FD6E1D73"/>
    <w:rsid w:val="FD7F45A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1" w:semiHidden="0" w:name="heading 4"/>
    <w:lsdException w:qFormat="1" w:uiPriority="1"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1"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qFormat="1" w:unhideWhenUsed="0" w:uiPriority="0" w:semiHidden="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57"/>
    <w:qFormat/>
    <w:uiPriority w:val="1"/>
    <w:pPr>
      <w:keepNext/>
      <w:keepLines/>
      <w:spacing w:before="340" w:after="330" w:line="576" w:lineRule="auto"/>
      <w:outlineLvl w:val="0"/>
    </w:pPr>
    <w:rPr>
      <w:rFonts w:ascii="Times New Roman" w:hAnsi="Times New Roman"/>
      <w:b/>
      <w:kern w:val="44"/>
      <w:sz w:val="44"/>
      <w:szCs w:val="20"/>
    </w:rPr>
  </w:style>
  <w:style w:type="paragraph" w:styleId="3">
    <w:name w:val="heading 2"/>
    <w:basedOn w:val="1"/>
    <w:next w:val="1"/>
    <w:link w:val="58"/>
    <w:qFormat/>
    <w:uiPriority w:val="1"/>
    <w:pPr>
      <w:keepNext/>
      <w:keepLines/>
      <w:spacing w:before="260" w:after="260" w:line="412" w:lineRule="auto"/>
      <w:outlineLvl w:val="1"/>
    </w:pPr>
    <w:rPr>
      <w:rFonts w:ascii="Arial" w:hAnsi="Arial" w:eastAsia="黑体"/>
      <w:b/>
      <w:sz w:val="32"/>
      <w:szCs w:val="20"/>
    </w:rPr>
  </w:style>
  <w:style w:type="paragraph" w:styleId="4">
    <w:name w:val="heading 3"/>
    <w:basedOn w:val="1"/>
    <w:next w:val="1"/>
    <w:link w:val="44"/>
    <w:qFormat/>
    <w:uiPriority w:val="1"/>
    <w:pPr>
      <w:keepNext/>
      <w:keepLines/>
      <w:spacing w:before="260" w:after="260" w:line="412" w:lineRule="auto"/>
      <w:ind w:firstLine="49" w:firstLineChars="49"/>
      <w:outlineLvl w:val="2"/>
    </w:pPr>
    <w:rPr>
      <w:rFonts w:ascii="黑体" w:eastAsia="黑体"/>
      <w:sz w:val="28"/>
      <w:szCs w:val="20"/>
    </w:rPr>
  </w:style>
  <w:style w:type="paragraph" w:styleId="5">
    <w:name w:val="heading 4"/>
    <w:basedOn w:val="1"/>
    <w:next w:val="1"/>
    <w:link w:val="45"/>
    <w:unhideWhenUsed/>
    <w:qFormat/>
    <w:uiPriority w:val="1"/>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46"/>
    <w:unhideWhenUsed/>
    <w:qFormat/>
    <w:uiPriority w:val="1"/>
    <w:pPr>
      <w:keepNext/>
      <w:keepLines/>
      <w:spacing w:before="280" w:after="290" w:line="376" w:lineRule="auto"/>
      <w:outlineLvl w:val="4"/>
    </w:pPr>
    <w:rPr>
      <w:b/>
      <w:bCs/>
      <w:sz w:val="28"/>
      <w:szCs w:val="28"/>
    </w:rPr>
  </w:style>
  <w:style w:type="paragraph" w:styleId="7">
    <w:name w:val="heading 6"/>
    <w:basedOn w:val="1"/>
    <w:next w:val="1"/>
    <w:link w:val="48"/>
    <w:qFormat/>
    <w:uiPriority w:val="1"/>
    <w:pPr>
      <w:autoSpaceDE w:val="0"/>
      <w:autoSpaceDN w:val="0"/>
      <w:ind w:left="642"/>
      <w:jc w:val="left"/>
      <w:outlineLvl w:val="5"/>
    </w:pPr>
    <w:rPr>
      <w:rFonts w:ascii="宋体" w:hAnsi="宋体" w:cs="宋体"/>
      <w:kern w:val="0"/>
      <w:sz w:val="24"/>
      <w:szCs w:val="24"/>
      <w:lang w:val="zh-CN" w:bidi="zh-CN"/>
    </w:rPr>
  </w:style>
  <w:style w:type="character" w:default="1" w:styleId="30">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8">
    <w:name w:val="toc 7"/>
    <w:basedOn w:val="1"/>
    <w:next w:val="1"/>
    <w:qFormat/>
    <w:uiPriority w:val="39"/>
    <w:pPr>
      <w:ind w:left="1200" w:leftChars="1200"/>
    </w:pPr>
  </w:style>
  <w:style w:type="paragraph" w:styleId="9">
    <w:name w:val="Normal Indent"/>
    <w:basedOn w:val="1"/>
    <w:qFormat/>
    <w:uiPriority w:val="0"/>
    <w:pPr>
      <w:ind w:firstLine="420"/>
    </w:pPr>
  </w:style>
  <w:style w:type="paragraph" w:styleId="10">
    <w:name w:val="Document Map"/>
    <w:basedOn w:val="1"/>
    <w:qFormat/>
    <w:uiPriority w:val="0"/>
    <w:rPr>
      <w:rFonts w:ascii="宋体" w:cs="宋体"/>
      <w:sz w:val="18"/>
      <w:szCs w:val="18"/>
    </w:rPr>
  </w:style>
  <w:style w:type="paragraph" w:styleId="11">
    <w:name w:val="annotation text"/>
    <w:basedOn w:val="1"/>
    <w:link w:val="41"/>
    <w:qFormat/>
    <w:uiPriority w:val="0"/>
    <w:pPr>
      <w:jc w:val="left"/>
    </w:pPr>
    <w:rPr>
      <w:rFonts w:ascii="Times New Roman" w:hAnsi="Times New Roman"/>
      <w:szCs w:val="20"/>
    </w:rPr>
  </w:style>
  <w:style w:type="paragraph" w:styleId="12">
    <w:name w:val="Body Text 3"/>
    <w:basedOn w:val="1"/>
    <w:link w:val="42"/>
    <w:qFormat/>
    <w:uiPriority w:val="0"/>
    <w:rPr>
      <w:rFonts w:ascii="宋体"/>
      <w:sz w:val="24"/>
      <w:szCs w:val="20"/>
    </w:rPr>
  </w:style>
  <w:style w:type="paragraph" w:styleId="13">
    <w:name w:val="Body Text"/>
    <w:basedOn w:val="1"/>
    <w:link w:val="47"/>
    <w:unhideWhenUsed/>
    <w:qFormat/>
    <w:uiPriority w:val="1"/>
    <w:pPr>
      <w:spacing w:after="120"/>
    </w:pPr>
  </w:style>
  <w:style w:type="paragraph" w:styleId="14">
    <w:name w:val="toc 5"/>
    <w:basedOn w:val="1"/>
    <w:next w:val="1"/>
    <w:qFormat/>
    <w:uiPriority w:val="1"/>
    <w:pPr>
      <w:ind w:left="800" w:leftChars="800"/>
    </w:pPr>
  </w:style>
  <w:style w:type="paragraph" w:styleId="15">
    <w:name w:val="toc 3"/>
    <w:basedOn w:val="1"/>
    <w:next w:val="1"/>
    <w:qFormat/>
    <w:uiPriority w:val="1"/>
    <w:pPr>
      <w:ind w:left="400" w:leftChars="400"/>
    </w:pPr>
  </w:style>
  <w:style w:type="paragraph" w:styleId="16">
    <w:name w:val="Plain Text"/>
    <w:basedOn w:val="1"/>
    <w:qFormat/>
    <w:uiPriority w:val="0"/>
    <w:rPr>
      <w:rFonts w:ascii="宋体"/>
    </w:rPr>
  </w:style>
  <w:style w:type="paragraph" w:styleId="17">
    <w:name w:val="toc 8"/>
    <w:basedOn w:val="1"/>
    <w:next w:val="1"/>
    <w:qFormat/>
    <w:uiPriority w:val="39"/>
    <w:pPr>
      <w:ind w:left="1400" w:leftChars="1400"/>
    </w:pPr>
  </w:style>
  <w:style w:type="paragraph" w:styleId="18">
    <w:name w:val="Date"/>
    <w:basedOn w:val="1"/>
    <w:next w:val="1"/>
    <w:qFormat/>
    <w:uiPriority w:val="0"/>
    <w:pPr>
      <w:ind w:left="2500" w:leftChars="2500"/>
    </w:pPr>
    <w:rPr>
      <w:rFonts w:ascii="Times New Roman" w:hAnsi="Times New Roman"/>
      <w:szCs w:val="20"/>
    </w:rPr>
  </w:style>
  <w:style w:type="paragraph" w:styleId="19">
    <w:name w:val="Balloon Text"/>
    <w:basedOn w:val="1"/>
    <w:link w:val="52"/>
    <w:qFormat/>
    <w:uiPriority w:val="0"/>
    <w:rPr>
      <w:rFonts w:ascii="Times New Roman" w:hAnsi="Times New Roman"/>
      <w:sz w:val="18"/>
      <w:szCs w:val="20"/>
    </w:rPr>
  </w:style>
  <w:style w:type="paragraph" w:styleId="20">
    <w:name w:val="footer"/>
    <w:basedOn w:val="1"/>
    <w:link w:val="54"/>
    <w:qFormat/>
    <w:uiPriority w:val="99"/>
    <w:pPr>
      <w:tabs>
        <w:tab w:val="center" w:pos="4153"/>
        <w:tab w:val="right" w:pos="8306"/>
      </w:tabs>
      <w:snapToGrid w:val="0"/>
      <w:jc w:val="left"/>
    </w:pPr>
    <w:rPr>
      <w:sz w:val="18"/>
    </w:rPr>
  </w:style>
  <w:style w:type="paragraph" w:styleId="21">
    <w:name w:val="header"/>
    <w:basedOn w:val="1"/>
    <w:link w:val="53"/>
    <w:qFormat/>
    <w:uiPriority w:val="99"/>
    <w:pPr>
      <w:tabs>
        <w:tab w:val="center" w:pos="4153"/>
        <w:tab w:val="right" w:pos="8306"/>
      </w:tabs>
      <w:snapToGrid w:val="0"/>
    </w:pPr>
    <w:rPr>
      <w:rFonts w:ascii="Times New Roman" w:hAnsi="Times New Roman"/>
      <w:sz w:val="18"/>
      <w:szCs w:val="20"/>
    </w:rPr>
  </w:style>
  <w:style w:type="paragraph" w:styleId="22">
    <w:name w:val="toc 1"/>
    <w:basedOn w:val="1"/>
    <w:next w:val="1"/>
    <w:qFormat/>
    <w:uiPriority w:val="1"/>
  </w:style>
  <w:style w:type="paragraph" w:styleId="23">
    <w:name w:val="toc 4"/>
    <w:basedOn w:val="1"/>
    <w:next w:val="1"/>
    <w:qFormat/>
    <w:uiPriority w:val="1"/>
    <w:pPr>
      <w:ind w:left="600" w:leftChars="600"/>
    </w:pPr>
  </w:style>
  <w:style w:type="paragraph" w:styleId="24">
    <w:name w:val="toc 6"/>
    <w:basedOn w:val="1"/>
    <w:next w:val="1"/>
    <w:qFormat/>
    <w:uiPriority w:val="1"/>
    <w:pPr>
      <w:ind w:left="1000" w:leftChars="1000"/>
    </w:pPr>
  </w:style>
  <w:style w:type="paragraph" w:styleId="25">
    <w:name w:val="Body Text Indent 3"/>
    <w:basedOn w:val="1"/>
    <w:qFormat/>
    <w:uiPriority w:val="0"/>
    <w:pPr>
      <w:spacing w:after="120"/>
      <w:ind w:left="200" w:leftChars="200"/>
    </w:pPr>
    <w:rPr>
      <w:sz w:val="16"/>
      <w:szCs w:val="16"/>
    </w:rPr>
  </w:style>
  <w:style w:type="paragraph" w:styleId="26">
    <w:name w:val="toc 2"/>
    <w:basedOn w:val="1"/>
    <w:next w:val="1"/>
    <w:qFormat/>
    <w:uiPriority w:val="1"/>
    <w:pPr>
      <w:ind w:left="200" w:leftChars="200"/>
    </w:pPr>
  </w:style>
  <w:style w:type="paragraph" w:styleId="27">
    <w:name w:val="toc 9"/>
    <w:basedOn w:val="1"/>
    <w:next w:val="1"/>
    <w:qFormat/>
    <w:uiPriority w:val="39"/>
    <w:pPr>
      <w:ind w:left="1600" w:leftChars="1600"/>
    </w:pPr>
  </w:style>
  <w:style w:type="paragraph" w:styleId="28">
    <w:name w:val="annotation subject"/>
    <w:basedOn w:val="11"/>
    <w:next w:val="11"/>
    <w:qFormat/>
    <w:uiPriority w:val="0"/>
  </w:style>
  <w:style w:type="character" w:styleId="31">
    <w:name w:val="Strong"/>
    <w:qFormat/>
    <w:uiPriority w:val="0"/>
    <w:rPr>
      <w:b/>
      <w:bCs/>
    </w:rPr>
  </w:style>
  <w:style w:type="character" w:styleId="32">
    <w:name w:val="page number"/>
    <w:basedOn w:val="30"/>
    <w:qFormat/>
    <w:uiPriority w:val="0"/>
  </w:style>
  <w:style w:type="character" w:styleId="33">
    <w:name w:val="Hyperlink"/>
    <w:qFormat/>
    <w:uiPriority w:val="99"/>
    <w:rPr>
      <w:color w:val="0000FF"/>
      <w:u w:val="single"/>
    </w:rPr>
  </w:style>
  <w:style w:type="character" w:styleId="34">
    <w:name w:val="annotation reference"/>
    <w:qFormat/>
    <w:uiPriority w:val="0"/>
    <w:rPr>
      <w:sz w:val="21"/>
    </w:rPr>
  </w:style>
  <w:style w:type="character" w:customStyle="1" w:styleId="35">
    <w:name w:val="style_kwd"/>
    <w:basedOn w:val="30"/>
    <w:qFormat/>
    <w:uiPriority w:val="0"/>
  </w:style>
  <w:style w:type="character" w:customStyle="1" w:styleId="36">
    <w:name w:val="批注文字 Char1"/>
    <w:qFormat/>
    <w:uiPriority w:val="0"/>
    <w:rPr>
      <w:rFonts w:ascii="Times New Roman" w:hAnsi="Times New Roman" w:eastAsia="宋体" w:cs="Times New Roman"/>
      <w:sz w:val="20"/>
      <w:szCs w:val="20"/>
      <w:lang w:bidi="ar-SA"/>
    </w:rPr>
  </w:style>
  <w:style w:type="character" w:customStyle="1" w:styleId="37">
    <w:name w:val="Comment Text Char"/>
    <w:qFormat/>
    <w:uiPriority w:val="0"/>
  </w:style>
  <w:style w:type="paragraph" w:customStyle="1" w:styleId="38">
    <w:name w:val="Revision"/>
    <w:qFormat/>
    <w:uiPriority w:val="0"/>
    <w:rPr>
      <w:rFonts w:ascii="Times New Roman" w:hAnsi="Times New Roman" w:eastAsia="宋体" w:cs="Times New Roman"/>
      <w:kern w:val="2"/>
      <w:sz w:val="21"/>
      <w:lang w:val="en-US" w:eastAsia="zh-CN" w:bidi="ar-SA"/>
    </w:rPr>
  </w:style>
  <w:style w:type="paragraph" w:customStyle="1" w:styleId="39">
    <w:name w:val="_Style 23"/>
    <w:basedOn w:val="1"/>
    <w:qFormat/>
    <w:uiPriority w:val="0"/>
    <w:pPr>
      <w:widowControl/>
      <w:spacing w:after="160" w:line="240" w:lineRule="exact"/>
      <w:jc w:val="left"/>
    </w:pPr>
  </w:style>
  <w:style w:type="paragraph" w:customStyle="1" w:styleId="40">
    <w:name w:val="TOC Heading"/>
    <w:basedOn w:val="2"/>
    <w:next w:val="1"/>
    <w:qFormat/>
    <w:uiPriority w:val="39"/>
    <w:pPr>
      <w:widowControl/>
      <w:spacing w:before="480" w:after="0" w:line="276" w:lineRule="auto"/>
      <w:jc w:val="left"/>
      <w:outlineLvl w:val="9"/>
    </w:pPr>
    <w:rPr>
      <w:rFonts w:ascii="Cambria" w:hAnsi="Cambria"/>
      <w:color w:val="365F91"/>
      <w:kern w:val="0"/>
      <w:sz w:val="28"/>
    </w:rPr>
  </w:style>
  <w:style w:type="character" w:customStyle="1" w:styleId="41">
    <w:name w:val="批注文字 Char"/>
    <w:basedOn w:val="30"/>
    <w:link w:val="11"/>
    <w:qFormat/>
    <w:uiPriority w:val="0"/>
    <w:rPr>
      <w:rFonts w:eastAsia="宋体"/>
      <w:kern w:val="2"/>
      <w:sz w:val="21"/>
    </w:rPr>
  </w:style>
  <w:style w:type="character" w:customStyle="1" w:styleId="42">
    <w:name w:val="正文文本 3 Char"/>
    <w:basedOn w:val="30"/>
    <w:link w:val="12"/>
    <w:qFormat/>
    <w:uiPriority w:val="0"/>
    <w:rPr>
      <w:rFonts w:ascii="宋体" w:hAnsi="Calibri" w:eastAsia="宋体"/>
      <w:kern w:val="2"/>
      <w:sz w:val="24"/>
    </w:rPr>
  </w:style>
  <w:style w:type="character" w:customStyle="1" w:styleId="43">
    <w:name w:val="font161"/>
    <w:qFormat/>
    <w:uiPriority w:val="0"/>
    <w:rPr>
      <w:b/>
      <w:bCs/>
      <w:sz w:val="32"/>
      <w:szCs w:val="32"/>
    </w:rPr>
  </w:style>
  <w:style w:type="character" w:customStyle="1" w:styleId="44">
    <w:name w:val="标题 3 Char"/>
    <w:link w:val="4"/>
    <w:qFormat/>
    <w:uiPriority w:val="1"/>
    <w:rPr>
      <w:rFonts w:ascii="黑体" w:hAnsi="Calibri" w:eastAsia="黑体"/>
      <w:kern w:val="2"/>
      <w:sz w:val="28"/>
    </w:rPr>
  </w:style>
  <w:style w:type="character" w:customStyle="1" w:styleId="45">
    <w:name w:val="标题 4 Char"/>
    <w:basedOn w:val="30"/>
    <w:link w:val="5"/>
    <w:qFormat/>
    <w:uiPriority w:val="1"/>
    <w:rPr>
      <w:rFonts w:asciiTheme="majorHAnsi" w:hAnsiTheme="majorHAnsi" w:eastAsiaTheme="majorEastAsia" w:cstheme="majorBidi"/>
      <w:b/>
      <w:bCs/>
      <w:kern w:val="2"/>
      <w:sz w:val="28"/>
      <w:szCs w:val="28"/>
    </w:rPr>
  </w:style>
  <w:style w:type="character" w:customStyle="1" w:styleId="46">
    <w:name w:val="标题 5 Char"/>
    <w:basedOn w:val="30"/>
    <w:link w:val="6"/>
    <w:qFormat/>
    <w:uiPriority w:val="1"/>
    <w:rPr>
      <w:rFonts w:ascii="Calibri" w:hAnsi="Calibri" w:eastAsia="宋体"/>
      <w:b/>
      <w:bCs/>
      <w:kern w:val="2"/>
      <w:sz w:val="28"/>
      <w:szCs w:val="28"/>
    </w:rPr>
  </w:style>
  <w:style w:type="character" w:customStyle="1" w:styleId="47">
    <w:name w:val="正文文本 Char"/>
    <w:basedOn w:val="30"/>
    <w:link w:val="13"/>
    <w:qFormat/>
    <w:uiPriority w:val="1"/>
    <w:rPr>
      <w:rFonts w:ascii="Calibri" w:hAnsi="Calibri" w:eastAsia="宋体"/>
      <w:kern w:val="2"/>
      <w:sz w:val="21"/>
      <w:szCs w:val="22"/>
    </w:rPr>
  </w:style>
  <w:style w:type="character" w:customStyle="1" w:styleId="48">
    <w:name w:val="标题 6 Char"/>
    <w:basedOn w:val="30"/>
    <w:link w:val="7"/>
    <w:qFormat/>
    <w:uiPriority w:val="1"/>
    <w:rPr>
      <w:rFonts w:ascii="宋体" w:hAnsi="宋体" w:eastAsia="宋体" w:cs="宋体"/>
      <w:sz w:val="24"/>
      <w:szCs w:val="24"/>
      <w:lang w:val="zh-CN" w:bidi="zh-CN"/>
    </w:rPr>
  </w:style>
  <w:style w:type="table" w:customStyle="1" w:styleId="49">
    <w:name w:val="Table Normal"/>
    <w:semiHidden/>
    <w:unhideWhenUsed/>
    <w:qFormat/>
    <w:uiPriority w:val="2"/>
    <w:rPr>
      <w:rFonts w:ascii="Calibri" w:hAnsi="Calibri" w:eastAsia="宋体"/>
    </w:rPr>
    <w:tblPr>
      <w:tblCellMar>
        <w:top w:w="0" w:type="dxa"/>
        <w:left w:w="0" w:type="dxa"/>
        <w:bottom w:w="0" w:type="dxa"/>
        <w:right w:w="0" w:type="dxa"/>
      </w:tblCellMar>
    </w:tblPr>
  </w:style>
  <w:style w:type="paragraph" w:styleId="50">
    <w:name w:val="List Paragraph"/>
    <w:basedOn w:val="1"/>
    <w:qFormat/>
    <w:uiPriority w:val="1"/>
    <w:pPr>
      <w:autoSpaceDE w:val="0"/>
      <w:autoSpaceDN w:val="0"/>
      <w:ind w:left="529" w:firstLine="419"/>
      <w:jc w:val="left"/>
    </w:pPr>
    <w:rPr>
      <w:rFonts w:ascii="宋体" w:hAnsi="宋体" w:cs="宋体"/>
      <w:kern w:val="0"/>
      <w:sz w:val="22"/>
      <w:lang w:val="zh-CN" w:bidi="zh-CN"/>
    </w:rPr>
  </w:style>
  <w:style w:type="paragraph" w:customStyle="1" w:styleId="51">
    <w:name w:val="Table Paragraph"/>
    <w:basedOn w:val="1"/>
    <w:qFormat/>
    <w:uiPriority w:val="1"/>
    <w:pPr>
      <w:autoSpaceDE w:val="0"/>
      <w:autoSpaceDN w:val="0"/>
      <w:jc w:val="left"/>
    </w:pPr>
    <w:rPr>
      <w:rFonts w:ascii="宋体" w:hAnsi="宋体" w:cs="宋体"/>
      <w:kern w:val="0"/>
      <w:sz w:val="22"/>
      <w:lang w:val="zh-CN" w:bidi="zh-CN"/>
    </w:rPr>
  </w:style>
  <w:style w:type="character" w:customStyle="1" w:styleId="52">
    <w:name w:val="批注框文本 Char"/>
    <w:basedOn w:val="30"/>
    <w:link w:val="19"/>
    <w:qFormat/>
    <w:uiPriority w:val="0"/>
    <w:rPr>
      <w:rFonts w:eastAsia="宋体"/>
      <w:kern w:val="2"/>
      <w:sz w:val="18"/>
    </w:rPr>
  </w:style>
  <w:style w:type="character" w:customStyle="1" w:styleId="53">
    <w:name w:val="页眉 Char"/>
    <w:basedOn w:val="30"/>
    <w:link w:val="21"/>
    <w:qFormat/>
    <w:uiPriority w:val="99"/>
    <w:rPr>
      <w:rFonts w:eastAsia="宋体"/>
      <w:kern w:val="2"/>
      <w:sz w:val="18"/>
    </w:rPr>
  </w:style>
  <w:style w:type="character" w:customStyle="1" w:styleId="54">
    <w:name w:val="页脚 Char"/>
    <w:basedOn w:val="30"/>
    <w:link w:val="20"/>
    <w:qFormat/>
    <w:uiPriority w:val="99"/>
    <w:rPr>
      <w:rFonts w:ascii="Calibri" w:hAnsi="Calibri" w:eastAsia="宋体"/>
      <w:kern w:val="2"/>
      <w:sz w:val="18"/>
      <w:szCs w:val="22"/>
    </w:rPr>
  </w:style>
  <w:style w:type="paragraph" w:customStyle="1" w:styleId="55">
    <w:name w:val="WPSOffice手动目录 1"/>
    <w:qFormat/>
    <w:uiPriority w:val="0"/>
    <w:rPr>
      <w:rFonts w:ascii="Calibri" w:hAnsi="Calibri" w:eastAsia="宋体" w:cs="Times New Roman"/>
      <w:lang w:val="en-US" w:eastAsia="zh-CN" w:bidi="ar-SA"/>
    </w:rPr>
  </w:style>
  <w:style w:type="paragraph" w:customStyle="1" w:styleId="56">
    <w:name w:val="WPSOffice手动目录 2"/>
    <w:qFormat/>
    <w:uiPriority w:val="0"/>
    <w:pPr>
      <w:ind w:left="200" w:leftChars="200"/>
    </w:pPr>
    <w:rPr>
      <w:rFonts w:ascii="Calibri" w:hAnsi="Calibri" w:eastAsia="宋体" w:cs="Times New Roman"/>
      <w:lang w:val="en-US" w:eastAsia="zh-CN" w:bidi="ar-SA"/>
    </w:rPr>
  </w:style>
  <w:style w:type="character" w:customStyle="1" w:styleId="57">
    <w:name w:val="标题 1 Char"/>
    <w:basedOn w:val="30"/>
    <w:link w:val="2"/>
    <w:qFormat/>
    <w:uiPriority w:val="1"/>
    <w:rPr>
      <w:rFonts w:eastAsia="宋体"/>
      <w:b/>
      <w:kern w:val="44"/>
      <w:sz w:val="44"/>
    </w:rPr>
  </w:style>
  <w:style w:type="character" w:customStyle="1" w:styleId="58">
    <w:name w:val="标题 2 Char"/>
    <w:basedOn w:val="30"/>
    <w:link w:val="3"/>
    <w:qFormat/>
    <w:uiPriority w:val="1"/>
    <w:rPr>
      <w:rFonts w:ascii="Arial" w:hAnsi="Arial" w:eastAsia="黑体"/>
      <w:b/>
      <w:kern w:val="2"/>
      <w:sz w:val="32"/>
    </w:rPr>
  </w:style>
  <w:style w:type="table" w:customStyle="1" w:styleId="59">
    <w:name w:val="Table Normal1"/>
    <w:semiHidden/>
    <w:unhideWhenUsed/>
    <w:qFormat/>
    <w:uiPriority w:val="2"/>
    <w:rPr>
      <w:rFonts w:ascii="Calibri" w:hAnsi="Calibri" w:eastAsia="宋体"/>
    </w:rPr>
    <w:tblPr>
      <w:tblCellMar>
        <w:top w:w="0" w:type="dxa"/>
        <w:left w:w="0" w:type="dxa"/>
        <w:bottom w:w="0" w:type="dxa"/>
        <w:right w:w="0" w:type="dxa"/>
      </w:tblCellMar>
    </w:tblPr>
  </w:style>
  <w:style w:type="character" w:customStyle="1" w:styleId="60">
    <w:name w:val="正文1"/>
    <w:qFormat/>
    <w:uiPriority w:val="0"/>
    <w:rPr>
      <w:rFonts w:ascii="宋体" w:hAnsi="宋体"/>
      <w:color w:val="00000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99</Pages>
  <Words>9207</Words>
  <Characters>52484</Characters>
  <Lines>437</Lines>
  <Paragraphs>123</Paragraphs>
  <TotalTime>1</TotalTime>
  <ScaleCrop>false</ScaleCrop>
  <LinksUpToDate>false</LinksUpToDate>
  <CharactersWithSpaces>61568</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2021-08-09T16:07:00Z</dcterms:created>
  <dc:creator>袁静</dc:creator>
  <cp:lastModifiedBy>u001</cp:lastModifiedBy>
  <cp:lastPrinted>2017-12-17T11:26:00Z</cp:lastPrinted>
  <dcterms:modified xsi:type="dcterms:W3CDTF">2024-11-21T09:58:26Z</dcterms:modified>
  <dc:title>中华人民共和国</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