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西藏自治区水利工程建设项目</w:t>
      </w:r>
    </w:p>
    <w:p>
      <w:pPr>
        <w:spacing w:line="400" w:lineRule="exact"/>
        <w:rPr>
          <w:rFonts w:hint="eastAsia"/>
          <w:i w:val="0"/>
          <w:iCs w:val="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标准项目管理总承包（PMC）电子</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招</w:t>
      </w:r>
      <w:r>
        <w:rPr>
          <w:rFonts w:hint="eastAsia" w:ascii="方正黑体简体" w:hAnsi="方正黑体简体" w:eastAsia="方正黑体简体" w:cs="方正黑体简体"/>
          <w:i w:val="0"/>
          <w:iCs w:val="0"/>
          <w:sz w:val="52"/>
          <w:szCs w:val="52"/>
          <w:highlight w:val="none"/>
          <w:lang w:val="en-US" w:eastAsia="zh-CN"/>
        </w:rPr>
        <w:t xml:space="preserve">  </w:t>
      </w:r>
      <w:r>
        <w:rPr>
          <w:rFonts w:hint="eastAsia" w:ascii="方正黑体简体" w:hAnsi="方正黑体简体" w:eastAsia="方正黑体简体" w:cs="方正黑体简体"/>
          <w:i w:val="0"/>
          <w:iCs w:val="0"/>
          <w:sz w:val="52"/>
          <w:szCs w:val="52"/>
          <w:highlight w:val="none"/>
        </w:rPr>
        <w:t>标</w:t>
      </w:r>
      <w:r>
        <w:rPr>
          <w:rFonts w:hint="eastAsia" w:ascii="方正黑体简体" w:hAnsi="方正黑体简体" w:eastAsia="方正黑体简体" w:cs="方正黑体简体"/>
          <w:i w:val="0"/>
          <w:iCs w:val="0"/>
          <w:sz w:val="52"/>
          <w:szCs w:val="52"/>
          <w:highlight w:val="none"/>
          <w:lang w:val="en-US" w:eastAsia="zh-CN"/>
        </w:rPr>
        <w:t xml:space="preserve">  </w:t>
      </w:r>
      <w:r>
        <w:rPr>
          <w:rFonts w:hint="eastAsia" w:ascii="方正黑体简体" w:hAnsi="方正黑体简体" w:eastAsia="方正黑体简体" w:cs="方正黑体简体"/>
          <w:i w:val="0"/>
          <w:iCs w:val="0"/>
          <w:sz w:val="52"/>
          <w:szCs w:val="52"/>
          <w:highlight w:val="none"/>
        </w:rPr>
        <w:t>文</w:t>
      </w:r>
      <w:r>
        <w:rPr>
          <w:rFonts w:hint="eastAsia" w:ascii="方正黑体简体" w:hAnsi="方正黑体简体" w:eastAsia="方正黑体简体" w:cs="方正黑体简体"/>
          <w:i w:val="0"/>
          <w:iCs w:val="0"/>
          <w:sz w:val="52"/>
          <w:szCs w:val="52"/>
          <w:highlight w:val="none"/>
          <w:lang w:val="en-US" w:eastAsia="zh-CN"/>
        </w:rPr>
        <w:t xml:space="preserve">  </w:t>
      </w:r>
      <w:r>
        <w:rPr>
          <w:rFonts w:hint="eastAsia" w:ascii="方正黑体简体" w:hAnsi="方正黑体简体" w:eastAsia="方正黑体简体" w:cs="方正黑体简体"/>
          <w:i w:val="0"/>
          <w:iCs w:val="0"/>
          <w:sz w:val="52"/>
          <w:szCs w:val="52"/>
          <w:highlight w:val="none"/>
        </w:rPr>
        <w:t>件</w:t>
      </w:r>
    </w:p>
    <w:p>
      <w:pPr>
        <w:spacing w:line="400" w:lineRule="exact"/>
        <w:rPr>
          <w:rFonts w:hint="eastAsia"/>
          <w:i w:val="0"/>
          <w:iCs w:val="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黑体简体" w:hAnsi="方正黑体简体" w:eastAsia="方正黑体简体" w:cs="方正黑体简体"/>
          <w:i w:val="0"/>
          <w:iCs w:val="0"/>
          <w:sz w:val="48"/>
          <w:szCs w:val="48"/>
          <w:highlight w:val="none"/>
        </w:rPr>
      </w:pPr>
      <w:r>
        <w:rPr>
          <w:rFonts w:hint="eastAsia" w:ascii="方正黑体简体" w:hAnsi="方正黑体简体" w:eastAsia="方正黑体简体" w:cs="方正黑体简体"/>
          <w:i w:val="0"/>
          <w:iCs w:val="0"/>
          <w:sz w:val="48"/>
          <w:szCs w:val="48"/>
          <w:highlight w:val="none"/>
        </w:rPr>
        <w:t>（202</w:t>
      </w:r>
      <w:r>
        <w:rPr>
          <w:rFonts w:hint="eastAsia" w:ascii="方正黑体简体" w:hAnsi="方正黑体简体" w:eastAsia="方正黑体简体" w:cs="方正黑体简体"/>
          <w:i w:val="0"/>
          <w:iCs w:val="0"/>
          <w:sz w:val="48"/>
          <w:szCs w:val="48"/>
          <w:highlight w:val="none"/>
          <w:lang w:val="en-US" w:eastAsia="zh-CN"/>
        </w:rPr>
        <w:t>4</w:t>
      </w:r>
      <w:r>
        <w:rPr>
          <w:rFonts w:hint="eastAsia" w:ascii="方正黑体简体" w:hAnsi="方正黑体简体" w:eastAsia="方正黑体简体" w:cs="方正黑体简体"/>
          <w:i w:val="0"/>
          <w:iCs w:val="0"/>
          <w:sz w:val="48"/>
          <w:szCs w:val="48"/>
          <w:highlight w:val="none"/>
        </w:rPr>
        <w:t>年版）</w:t>
      </w: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560" w:lineRule="exact"/>
        <w:jc w:val="center"/>
        <w:rPr>
          <w:rFonts w:hint="eastAsia" w:ascii="方正黑体简体" w:hAnsi="方正黑体简体" w:eastAsia="方正黑体简体" w:cs="方正黑体简体"/>
          <w:i w:val="0"/>
          <w:iCs w:val="0"/>
          <w:sz w:val="32"/>
          <w:szCs w:val="32"/>
          <w:highlight w:val="none"/>
        </w:rPr>
      </w:pPr>
      <w:r>
        <w:rPr>
          <w:rFonts w:hint="eastAsia" w:ascii="方正黑体简体" w:hAnsi="方正黑体简体" w:eastAsia="方正黑体简体" w:cs="方正黑体简体"/>
          <w:i w:val="0"/>
          <w:iCs w:val="0"/>
          <w:sz w:val="32"/>
          <w:szCs w:val="32"/>
          <w:highlight w:val="none"/>
        </w:rPr>
        <w:t>西藏自治区水利厅</w:t>
      </w:r>
    </w:p>
    <w:p>
      <w:pPr>
        <w:spacing w:line="560" w:lineRule="exact"/>
        <w:jc w:val="center"/>
        <w:rPr>
          <w:rFonts w:hint="eastAsia" w:ascii="方正黑体简体" w:hAnsi="方正黑体简体" w:eastAsia="方正黑体简体" w:cs="方正黑体简体"/>
          <w:i w:val="0"/>
          <w:iCs w:val="0"/>
          <w:sz w:val="32"/>
          <w:szCs w:val="32"/>
          <w:highlight w:val="none"/>
        </w:rPr>
        <w:sectPr>
          <w:footerReference r:id="rId3" w:type="even"/>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r>
        <w:rPr>
          <w:rFonts w:hint="eastAsia" w:ascii="方正黑体简体" w:hAnsi="方正黑体简体" w:eastAsia="方正黑体简体" w:cs="方正黑体简体"/>
          <w:i w:val="0"/>
          <w:iCs w:val="0"/>
          <w:sz w:val="32"/>
          <w:szCs w:val="32"/>
          <w:highlight w:val="none"/>
        </w:rPr>
        <w:t>202</w:t>
      </w:r>
      <w:r>
        <w:rPr>
          <w:rFonts w:hint="eastAsia" w:ascii="方正黑体简体" w:hAnsi="方正黑体简体" w:eastAsia="方正黑体简体" w:cs="方正黑体简体"/>
          <w:i w:val="0"/>
          <w:iCs w:val="0"/>
          <w:sz w:val="32"/>
          <w:szCs w:val="32"/>
          <w:highlight w:val="none"/>
          <w:lang w:val="en-US" w:eastAsia="zh-CN"/>
        </w:rPr>
        <w:t>4</w:t>
      </w:r>
      <w:r>
        <w:rPr>
          <w:rFonts w:hint="eastAsia" w:ascii="方正黑体简体" w:hAnsi="方正黑体简体" w:eastAsia="方正黑体简体" w:cs="方正黑体简体"/>
          <w:i w:val="0"/>
          <w:iCs w:val="0"/>
          <w:sz w:val="32"/>
          <w:szCs w:val="32"/>
          <w:highlight w:val="none"/>
        </w:rPr>
        <w:t>年</w:t>
      </w:r>
      <w:r>
        <w:rPr>
          <w:rFonts w:hint="eastAsia" w:ascii="方正黑体简体" w:hAnsi="方正黑体简体" w:eastAsia="方正黑体简体" w:cs="方正黑体简体"/>
          <w:i w:val="0"/>
          <w:iCs w:val="0"/>
          <w:sz w:val="32"/>
          <w:szCs w:val="32"/>
          <w:highlight w:val="none"/>
          <w:lang w:val="en-US" w:eastAsia="zh-CN"/>
        </w:rPr>
        <w:t>11</w:t>
      </w:r>
      <w:r>
        <w:rPr>
          <w:rFonts w:hint="eastAsia" w:ascii="方正黑体简体" w:hAnsi="方正黑体简体" w:eastAsia="方正黑体简体" w:cs="方正黑体简体"/>
          <w:i w:val="0"/>
          <w:iCs w:val="0"/>
          <w:sz w:val="32"/>
          <w:szCs w:val="32"/>
          <w:highlight w:val="none"/>
        </w:rPr>
        <w:t>月</w:t>
      </w:r>
    </w:p>
    <w:p>
      <w:pPr>
        <w:jc w:val="center"/>
        <w:rPr>
          <w:rFonts w:hint="eastAsia" w:ascii="黑体" w:hAnsi="黑体" w:eastAsia="黑体" w:cs="黑体"/>
          <w:b w:val="0"/>
          <w:bCs/>
          <w:i w:val="0"/>
          <w:iCs w:val="0"/>
          <w:kern w:val="0"/>
          <w:sz w:val="36"/>
          <w:szCs w:val="36"/>
          <w:highlight w:val="none"/>
          <w:lang w:val="zh-CN"/>
        </w:rPr>
      </w:pPr>
      <w:r>
        <w:rPr>
          <w:rFonts w:hint="eastAsia" w:ascii="黑体" w:hAnsi="黑体" w:eastAsia="黑体" w:cs="黑体"/>
          <w:b w:val="0"/>
          <w:bCs/>
          <w:i w:val="0"/>
          <w:iCs w:val="0"/>
          <w:kern w:val="0"/>
          <w:sz w:val="36"/>
          <w:szCs w:val="36"/>
          <w:highlight w:val="none"/>
          <w:lang w:val="zh-CN"/>
        </w:rPr>
        <w:t>本书编委会</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主编单位：</w:t>
      </w:r>
      <w:r>
        <w:rPr>
          <w:rFonts w:hint="eastAsia" w:ascii="仿宋_GB2312" w:hAnsi="仿宋_GB2312" w:eastAsia="仿宋_GB2312" w:cs="仿宋_GB2312"/>
          <w:b w:val="0"/>
          <w:bCs/>
          <w:i w:val="0"/>
          <w:iCs w:val="0"/>
          <w:kern w:val="0"/>
          <w:sz w:val="32"/>
          <w:szCs w:val="32"/>
          <w:highlight w:val="none"/>
          <w:lang w:val="zh-CN"/>
        </w:rPr>
        <w:t>西藏自治区水利厅</w:t>
      </w:r>
    </w:p>
    <w:p>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val="0"/>
          <w:bCs/>
          <w:i w:val="0"/>
          <w:iCs w:val="0"/>
          <w:kern w:val="0"/>
          <w:sz w:val="32"/>
          <w:szCs w:val="32"/>
          <w:highlight w:val="none"/>
          <w:lang w:val="zh-CN"/>
        </w:rPr>
        <w:t>中水北方勘测设计研究有限责任公司</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审：</w:t>
      </w:r>
      <w:r>
        <w:rPr>
          <w:rFonts w:hint="eastAsia" w:ascii="仿宋_GB2312" w:hAnsi="仿宋_GB2312" w:eastAsia="仿宋_GB2312" w:cs="仿宋_GB2312"/>
          <w:b w:val="0"/>
          <w:bCs/>
          <w:i w:val="0"/>
          <w:iCs w:val="0"/>
          <w:kern w:val="0"/>
          <w:sz w:val="32"/>
          <w:szCs w:val="32"/>
          <w:highlight w:val="none"/>
          <w:lang w:val="zh-CN"/>
        </w:rPr>
        <w:t>热旦</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编：</w:t>
      </w:r>
      <w:r>
        <w:rPr>
          <w:rFonts w:hint="eastAsia" w:ascii="仿宋_GB2312" w:hAnsi="仿宋_GB2312" w:eastAsia="仿宋_GB2312" w:cs="仿宋_GB2312"/>
          <w:b w:val="0"/>
          <w:bCs/>
          <w:i w:val="0"/>
          <w:iCs w:val="0"/>
          <w:kern w:val="0"/>
          <w:sz w:val="32"/>
          <w:szCs w:val="32"/>
          <w:highlight w:val="none"/>
          <w:lang w:val="zh-CN"/>
        </w:rPr>
        <w:t>皇甫大林</w:t>
      </w:r>
      <w:r>
        <w:rPr>
          <w:rFonts w:hint="eastAsia" w:ascii="仿宋_GB2312" w:hAnsi="仿宋_GB2312" w:eastAsia="仿宋_GB2312" w:cs="仿宋_GB2312"/>
          <w:b w:val="0"/>
          <w:bCs/>
          <w:i w:val="0"/>
          <w:iCs w:val="0"/>
          <w:kern w:val="0"/>
          <w:sz w:val="32"/>
          <w:szCs w:val="32"/>
          <w:highlight w:val="none"/>
          <w:lang w:val="en-US" w:eastAsia="zh-CN"/>
        </w:rPr>
        <w:t xml:space="preserve"> 金泰植</w:t>
      </w:r>
    </w:p>
    <w:p>
      <w:pPr>
        <w:keepNext w:val="0"/>
        <w:keepLines w:val="0"/>
        <w:pageBreakBefore w:val="0"/>
        <w:widowControl w:val="0"/>
        <w:kinsoku/>
        <w:wordWrap/>
        <w:overflowPunct/>
        <w:topLinePunct w:val="0"/>
        <w:autoSpaceDE/>
        <w:autoSpaceDN/>
        <w:bidi w:val="0"/>
        <w:adjustRightInd/>
        <w:snapToGrid/>
        <w:spacing w:line="576" w:lineRule="exact"/>
        <w:ind w:left="1600" w:hanging="1606" w:hangingChars="500"/>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en-US" w:eastAsia="zh-CN"/>
        </w:rPr>
        <w:t>编写成员：</w:t>
      </w:r>
      <w:r>
        <w:rPr>
          <w:rFonts w:hint="eastAsia" w:ascii="仿宋_GB2312" w:hAnsi="仿宋_GB2312" w:eastAsia="仿宋_GB2312" w:cs="仿宋_GB2312"/>
          <w:b w:val="0"/>
          <w:bCs/>
          <w:i w:val="0"/>
          <w:iCs w:val="0"/>
          <w:kern w:val="0"/>
          <w:sz w:val="32"/>
          <w:szCs w:val="32"/>
          <w:highlight w:val="none"/>
          <w:lang w:val="en-US" w:eastAsia="zh-CN"/>
        </w:rPr>
        <w:t>张海军 柳林 江村 提包次仁 杜昭辉 张喜院 王志良  李思维 杨林 次旦卓玛 桑姆 巴桑曲珍 刘鹏 梁博 周斌山 旦增曲珍 扎西拉姆 杨刚 张嘉军 张艳君  张誉 徐丽 郝红红 邱海玲</w:t>
      </w: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hint="eastAsia" w:ascii="黑体" w:eastAsia="黑体"/>
          <w:i w:val="0"/>
          <w:iCs w:val="0"/>
          <w:sz w:val="32"/>
          <w:szCs w:val="32"/>
          <w:highlight w:val="none"/>
        </w:rPr>
      </w:pPr>
    </w:p>
    <w:p>
      <w:pPr>
        <w:spacing w:line="500" w:lineRule="exact"/>
        <w:jc w:val="center"/>
        <w:rPr>
          <w:rFonts w:ascii="黑体" w:eastAsia="黑体"/>
          <w:i w:val="0"/>
          <w:iCs w:val="0"/>
          <w:sz w:val="32"/>
          <w:szCs w:val="32"/>
          <w:highlight w:val="none"/>
        </w:rPr>
      </w:pPr>
      <w:r>
        <w:rPr>
          <w:rFonts w:hint="eastAsia" w:ascii="黑体" w:eastAsia="黑体"/>
          <w:i w:val="0"/>
          <w:iCs w:val="0"/>
          <w:sz w:val="32"/>
          <w:szCs w:val="32"/>
          <w:highlight w:val="none"/>
        </w:rPr>
        <w:t>使 用 说 明</w:t>
      </w:r>
    </w:p>
    <w:p>
      <w:pPr>
        <w:spacing w:line="440" w:lineRule="exact"/>
        <w:rPr>
          <w:i w:val="0"/>
          <w:iCs w:val="0"/>
          <w:highlight w:val="none"/>
        </w:rPr>
      </w:pP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一、《西藏自治区水利水电建设项目标准项目</w:t>
      </w:r>
      <w:r>
        <w:rPr>
          <w:rFonts w:ascii="仿宋_GB2312" w:hAnsi="仿宋_GB2312" w:eastAsia="仿宋_GB2312" w:cs="仿宋_GB2312"/>
          <w:i w:val="0"/>
          <w:iCs w:val="0"/>
          <w:szCs w:val="21"/>
          <w:highlight w:val="none"/>
        </w:rPr>
        <w:t>管理</w:t>
      </w:r>
      <w:r>
        <w:rPr>
          <w:rFonts w:hint="eastAsia" w:ascii="仿宋_GB2312" w:hAnsi="仿宋_GB2312" w:eastAsia="仿宋_GB2312" w:cs="仿宋_GB2312"/>
          <w:i w:val="0"/>
          <w:iCs w:val="0"/>
          <w:szCs w:val="21"/>
          <w:highlight w:val="none"/>
        </w:rPr>
        <w:t>总承包（PMC）电子招标文件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lang w:eastAsia="zh-CN"/>
        </w:rPr>
        <w:t>2024年版</w:t>
      </w: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lang w:eastAsia="zh-CN"/>
        </w:rPr>
        <w:t>参考</w:t>
      </w:r>
      <w:r>
        <w:rPr>
          <w:rFonts w:hint="eastAsia" w:ascii="仿宋_GB2312" w:hAnsi="仿宋_GB2312" w:eastAsia="仿宋_GB2312" w:cs="仿宋_GB2312"/>
          <w:i w:val="0"/>
          <w:iCs w:val="0"/>
          <w:szCs w:val="21"/>
          <w:highlight w:val="none"/>
        </w:rPr>
        <w:t>《中华人民共和国标准设计施工总承包招标文件》</w:t>
      </w:r>
      <w:r>
        <w:rPr>
          <w:rFonts w:hint="eastAsia" w:ascii="仿宋_GB2312" w:hAnsi="仿宋_GB2312" w:eastAsia="仿宋_GB2312" w:cs="仿宋_GB2312"/>
          <w:i w:val="0"/>
          <w:iCs w:val="0"/>
          <w:szCs w:val="21"/>
          <w:highlight w:val="none"/>
          <w:lang w:eastAsia="zh-CN"/>
        </w:rPr>
        <w:t>、</w:t>
      </w:r>
      <w:r>
        <w:rPr>
          <w:rFonts w:hint="eastAsia" w:ascii="仿宋_GB2312" w:hAnsi="仿宋_GB2312" w:eastAsia="仿宋_GB2312" w:cs="仿宋_GB2312"/>
          <w:i w:val="0"/>
          <w:iCs w:val="0"/>
          <w:szCs w:val="21"/>
          <w:highlight w:val="none"/>
        </w:rPr>
        <w:t>《电子招标投标办法》（8部委20号令）等编制，适用于西藏自治区水利工程建设项目的项目管理总承包（PMC）招标。</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二、《西藏自治区水利工程建设项目标准项目</w:t>
      </w:r>
      <w:r>
        <w:rPr>
          <w:rFonts w:ascii="仿宋_GB2312" w:hAnsi="仿宋_GB2312" w:eastAsia="仿宋_GB2312" w:cs="仿宋_GB2312"/>
          <w:i w:val="0"/>
          <w:iCs w:val="0"/>
          <w:szCs w:val="21"/>
          <w:highlight w:val="none"/>
        </w:rPr>
        <w:t>管理</w:t>
      </w:r>
      <w:r>
        <w:rPr>
          <w:rFonts w:hint="eastAsia" w:ascii="仿宋_GB2312" w:hAnsi="仿宋_GB2312" w:eastAsia="仿宋_GB2312" w:cs="仿宋_GB2312"/>
          <w:i w:val="0"/>
          <w:iCs w:val="0"/>
          <w:szCs w:val="21"/>
          <w:highlight w:val="none"/>
        </w:rPr>
        <w:t>总承包（PMC）电子招标文件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i w:val="0"/>
          <w:iCs w:val="0"/>
          <w:szCs w:val="21"/>
          <w:highlight w:val="none"/>
        </w:rPr>
        <w:t>》用相同序号标示的章、节、条、款、项、目，供招标人选择使用；以空格标示的由招标人填写的内容，招标人应根据招标项目具体特点和实际需要具体化，确实没有需要填写的，在空格中用“/”标示。</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三、第一章招标公告或投标邀请书格式供参考。招标公告或投标邀请书发布后，应编入招标文件中，作为投标邀请。其中招标公告应注明该公告发布的所有媒介名称。</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四、第二章投标人须知正文应全文引用。“投标人须知前附表”用于进一步明确“投标人须知正文”中未尽事宜，招标人应结合招标项目具体特点和实际需要编制和填写，但不应与“投标人须知”内容相抵触，否则抵触内容无效。“投标人须知”所提供的格式文件供招标人参考使用。</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五、第三章“评标办法”采用综合评估法，“评标办法”前附表应列明全部评审因素和评审标准，并在本章前附表标明投标人不满足要求即否决其投标的全部条款。没有明列的因素和标准不应作为评标的依据。“评标办法”所提供的格式文件供招标人参考使用。</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六、第四章合同条款及格式应结合实际情况补充、修改，但不得违反法律、法规和行业规章的有关规定和平等、自愿、公平以及诚实信用原则。</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七、第五章“发包人要求”由招标人根据招标项目具体特点和实际需要编制，并与“投标人须知”、“通用合同条款”、“专用合同条款”相衔接。</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八、本招标文件中有关招标人的约定除特别声明外，同时适用于受其委托承担招标代理任务的招标代理机构。</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九、《西藏自治区水利水电建设项目</w:t>
      </w:r>
      <w:r>
        <w:rPr>
          <w:rFonts w:hint="eastAsia" w:ascii="仿宋_GB2312" w:hAnsi="仿宋_GB2312" w:eastAsia="仿宋_GB2312" w:cs="仿宋_GB2312"/>
          <w:i w:val="0"/>
          <w:iCs w:val="0"/>
          <w:szCs w:val="21"/>
          <w:highlight w:val="none"/>
          <w:lang w:eastAsia="zh-CN"/>
        </w:rPr>
        <w:t>标准</w:t>
      </w:r>
      <w:r>
        <w:rPr>
          <w:rFonts w:hint="eastAsia" w:ascii="仿宋_GB2312" w:hAnsi="仿宋_GB2312" w:eastAsia="仿宋_GB2312" w:cs="仿宋_GB2312"/>
          <w:i w:val="0"/>
          <w:iCs w:val="0"/>
          <w:szCs w:val="21"/>
          <w:highlight w:val="none"/>
        </w:rPr>
        <w:t>项目</w:t>
      </w:r>
      <w:r>
        <w:rPr>
          <w:rFonts w:ascii="仿宋_GB2312" w:hAnsi="仿宋_GB2312" w:eastAsia="仿宋_GB2312" w:cs="仿宋_GB2312"/>
          <w:i w:val="0"/>
          <w:iCs w:val="0"/>
          <w:szCs w:val="21"/>
          <w:highlight w:val="none"/>
        </w:rPr>
        <w:t>管理</w:t>
      </w:r>
      <w:r>
        <w:rPr>
          <w:rFonts w:hint="eastAsia" w:ascii="仿宋_GB2312" w:hAnsi="仿宋_GB2312" w:eastAsia="仿宋_GB2312" w:cs="仿宋_GB2312"/>
          <w:i w:val="0"/>
          <w:iCs w:val="0"/>
          <w:szCs w:val="21"/>
          <w:highlight w:val="none"/>
        </w:rPr>
        <w:t>总承包（PMC）</w:t>
      </w:r>
      <w:r>
        <w:rPr>
          <w:rFonts w:hint="eastAsia" w:ascii="仿宋_GB2312" w:hAnsi="仿宋_GB2312" w:eastAsia="仿宋_GB2312" w:cs="仿宋_GB2312"/>
          <w:i w:val="0"/>
          <w:iCs w:val="0"/>
          <w:szCs w:val="21"/>
          <w:highlight w:val="none"/>
          <w:lang w:eastAsia="zh-CN"/>
        </w:rPr>
        <w:t>电子</w:t>
      </w:r>
      <w:r>
        <w:rPr>
          <w:rFonts w:hint="eastAsia" w:ascii="仿宋_GB2312" w:hAnsi="仿宋_GB2312" w:eastAsia="仿宋_GB2312" w:cs="仿宋_GB2312"/>
          <w:i w:val="0"/>
          <w:iCs w:val="0"/>
          <w:szCs w:val="21"/>
          <w:highlight w:val="none"/>
        </w:rPr>
        <w:t>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lang w:eastAsia="zh-CN"/>
        </w:rPr>
        <w:t>2024年版</w:t>
      </w:r>
      <w:r>
        <w:rPr>
          <w:rFonts w:hint="eastAsia" w:ascii="仿宋_GB2312" w:hAnsi="仿宋_GB2312" w:eastAsia="仿宋_GB2312" w:cs="仿宋_GB2312"/>
          <w:i w:val="0"/>
          <w:iCs w:val="0"/>
          <w:szCs w:val="21"/>
          <w:highlight w:val="none"/>
        </w:rPr>
        <w:t>）中须不加修改引用的内容，若确因工程的特殊条件需要改动时，应报行政监督与管理部门批准。</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十、各章节中用粗斜体编写的“说明”内容，仅用于指导编制招标文件，不是招标文件的组成部分，但应按其要求编写，正式编制和发售的招标文件中应删除。</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十一、《西藏自治区水利水电建设项目</w:t>
      </w:r>
      <w:r>
        <w:rPr>
          <w:rFonts w:hint="eastAsia" w:ascii="仿宋_GB2312" w:hAnsi="仿宋_GB2312" w:eastAsia="仿宋_GB2312" w:cs="仿宋_GB2312"/>
          <w:i w:val="0"/>
          <w:iCs w:val="0"/>
          <w:szCs w:val="21"/>
          <w:highlight w:val="none"/>
          <w:lang w:eastAsia="zh-CN"/>
        </w:rPr>
        <w:t>标准</w:t>
      </w:r>
      <w:r>
        <w:rPr>
          <w:rFonts w:hint="eastAsia" w:ascii="仿宋_GB2312" w:hAnsi="仿宋_GB2312" w:eastAsia="仿宋_GB2312" w:cs="仿宋_GB2312"/>
          <w:i w:val="0"/>
          <w:iCs w:val="0"/>
          <w:szCs w:val="21"/>
          <w:highlight w:val="none"/>
        </w:rPr>
        <w:t>项目</w:t>
      </w:r>
      <w:r>
        <w:rPr>
          <w:rFonts w:ascii="仿宋_GB2312" w:hAnsi="仿宋_GB2312" w:eastAsia="仿宋_GB2312" w:cs="仿宋_GB2312"/>
          <w:i w:val="0"/>
          <w:iCs w:val="0"/>
          <w:szCs w:val="21"/>
          <w:highlight w:val="none"/>
        </w:rPr>
        <w:t>管理</w:t>
      </w:r>
      <w:r>
        <w:rPr>
          <w:rFonts w:hint="eastAsia" w:ascii="仿宋_GB2312" w:hAnsi="仿宋_GB2312" w:eastAsia="仿宋_GB2312" w:cs="仿宋_GB2312"/>
          <w:i w:val="0"/>
          <w:iCs w:val="0"/>
          <w:szCs w:val="21"/>
          <w:highlight w:val="none"/>
        </w:rPr>
        <w:t>总承包（PMC）</w:t>
      </w:r>
      <w:r>
        <w:rPr>
          <w:rFonts w:hint="eastAsia" w:ascii="仿宋_GB2312" w:hAnsi="仿宋_GB2312" w:eastAsia="仿宋_GB2312" w:cs="仿宋_GB2312"/>
          <w:i w:val="0"/>
          <w:iCs w:val="0"/>
          <w:szCs w:val="21"/>
          <w:highlight w:val="none"/>
          <w:lang w:eastAsia="zh-CN"/>
        </w:rPr>
        <w:t>电子</w:t>
      </w:r>
      <w:r>
        <w:rPr>
          <w:rFonts w:hint="eastAsia" w:ascii="仿宋_GB2312" w:hAnsi="仿宋_GB2312" w:eastAsia="仿宋_GB2312" w:cs="仿宋_GB2312"/>
          <w:i w:val="0"/>
          <w:iCs w:val="0"/>
          <w:szCs w:val="21"/>
          <w:highlight w:val="none"/>
        </w:rPr>
        <w:t>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lang w:eastAsia="zh-CN"/>
        </w:rPr>
        <w:t>2024年版</w:t>
      </w:r>
      <w:r>
        <w:rPr>
          <w:rFonts w:hint="eastAsia" w:ascii="仿宋_GB2312" w:hAnsi="仿宋_GB2312" w:eastAsia="仿宋_GB2312" w:cs="仿宋_GB2312"/>
          <w:i w:val="0"/>
          <w:iCs w:val="0"/>
          <w:szCs w:val="21"/>
          <w:highlight w:val="none"/>
        </w:rPr>
        <w:t>）将根据实际使用过程中出现的问题及时进行修改。各使用单位或个人的修改意见和建议，可向西藏自治区水利厅建设</w:t>
      </w:r>
      <w:r>
        <w:rPr>
          <w:rFonts w:hint="eastAsia" w:ascii="仿宋_GB2312" w:hAnsi="仿宋_GB2312" w:eastAsia="仿宋_GB2312" w:cs="仿宋_GB2312"/>
          <w:i w:val="0"/>
          <w:iCs w:val="0"/>
          <w:szCs w:val="21"/>
          <w:highlight w:val="none"/>
          <w:lang w:eastAsia="zh-CN"/>
        </w:rPr>
        <w:t>运行</w:t>
      </w:r>
      <w:bookmarkStart w:id="765" w:name="_GoBack"/>
      <w:bookmarkEnd w:id="765"/>
      <w:r>
        <w:rPr>
          <w:rFonts w:hint="eastAsia" w:ascii="仿宋_GB2312" w:hAnsi="仿宋_GB2312" w:eastAsia="仿宋_GB2312" w:cs="仿宋_GB2312"/>
          <w:i w:val="0"/>
          <w:iCs w:val="0"/>
          <w:szCs w:val="21"/>
          <w:highlight w:val="none"/>
        </w:rPr>
        <w:t>管理处反映。</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联系电话：0891-6373996</w:t>
      </w:r>
      <w:r>
        <w:rPr>
          <w:rFonts w:hint="eastAsia" w:ascii="仿宋_GB2312" w:hAnsi="仿宋_GB2312" w:eastAsia="仿宋_GB2312" w:cs="仿宋_GB2312"/>
          <w:i w:val="0"/>
          <w:iCs w:val="0"/>
          <w:szCs w:val="21"/>
          <w:highlight w:val="none"/>
          <w:lang w:val="en"/>
        </w:rPr>
        <w:t>/</w:t>
      </w:r>
      <w:r>
        <w:rPr>
          <w:rFonts w:hint="eastAsia" w:ascii="仿宋_GB2312" w:hAnsi="仿宋_GB2312" w:eastAsia="仿宋_GB2312" w:cs="仿宋_GB2312"/>
          <w:i w:val="0"/>
          <w:iCs w:val="0"/>
          <w:szCs w:val="21"/>
          <w:highlight w:val="none"/>
        </w:rPr>
        <w:t>6373641。</w:t>
      </w:r>
    </w:p>
    <w:p>
      <w:pPr>
        <w:spacing w:line="500" w:lineRule="exact"/>
        <w:ind w:firstLine="420" w:firstLineChars="200"/>
        <w:rPr>
          <w:rFonts w:hint="eastAsia" w:eastAsia="仿宋_GB2312"/>
          <w:i w:val="0"/>
          <w:iCs w:val="0"/>
          <w:szCs w:val="21"/>
          <w:highlight w:val="none"/>
        </w:rPr>
      </w:pPr>
    </w:p>
    <w:p>
      <w:pPr>
        <w:spacing w:line="500" w:lineRule="exact"/>
        <w:ind w:firstLine="560" w:firstLineChars="200"/>
        <w:rPr>
          <w:rFonts w:eastAsia="仿宋_GB2312"/>
          <w:i w:val="0"/>
          <w:iCs w:val="0"/>
          <w:sz w:val="28"/>
          <w:szCs w:val="28"/>
          <w:highlight w:val="none"/>
        </w:rPr>
      </w:pPr>
    </w:p>
    <w:p>
      <w:pPr>
        <w:pStyle w:val="12"/>
        <w:ind w:firstLine="620"/>
        <w:rPr>
          <w:i w:val="0"/>
          <w:iCs w:val="0"/>
          <w:sz w:val="20"/>
          <w:szCs w:val="20"/>
          <w:highlight w:val="none"/>
        </w:rPr>
      </w:pPr>
      <w:r>
        <w:rPr>
          <w:rFonts w:eastAsia="黑体"/>
          <w:i w:val="0"/>
          <w:iCs w:val="0"/>
          <w:sz w:val="31"/>
          <w:szCs w:val="31"/>
          <w:highlight w:val="none"/>
        </w:rPr>
        <w:br w:type="page"/>
      </w:r>
    </w:p>
    <w:p>
      <w:pPr>
        <w:spacing w:line="400" w:lineRule="exact"/>
        <w:rPr>
          <w:i w:val="0"/>
          <w:iCs w:val="0"/>
          <w:highlight w:val="none"/>
        </w:rPr>
      </w:pPr>
    </w:p>
    <w:p>
      <w:pPr>
        <w:spacing w:line="400" w:lineRule="exact"/>
        <w:rPr>
          <w:i w:val="0"/>
          <w:iCs w:val="0"/>
          <w:sz w:val="52"/>
          <w:szCs w:val="52"/>
          <w:highlight w:val="none"/>
        </w:rPr>
      </w:pPr>
    </w:p>
    <w:p>
      <w:pPr>
        <w:jc w:val="center"/>
        <w:rPr>
          <w:rFonts w:ascii="黑体" w:eastAsia="黑体"/>
          <w:i w:val="0"/>
          <w:iCs w:val="0"/>
          <w:sz w:val="48"/>
          <w:szCs w:val="48"/>
          <w:highlight w:val="none"/>
        </w:rPr>
      </w:pPr>
      <w:r>
        <w:rPr>
          <w:rFonts w:hint="eastAsia" w:ascii="黑体" w:eastAsia="黑体"/>
          <w:i w:val="0"/>
          <w:iCs w:val="0"/>
          <w:sz w:val="48"/>
          <w:szCs w:val="48"/>
          <w:highlight w:val="none"/>
          <w:u w:val="single"/>
        </w:rPr>
        <w:t xml:space="preserve">     </w:t>
      </w:r>
      <w:r>
        <w:rPr>
          <w:rFonts w:hint="eastAsia" w:ascii="黑体" w:eastAsia="黑体"/>
          <w:i w:val="0"/>
          <w:iCs w:val="0"/>
          <w:sz w:val="48"/>
          <w:szCs w:val="48"/>
          <w:highlight w:val="none"/>
        </w:rPr>
        <w:t>（项目名称）</w:t>
      </w:r>
      <w:r>
        <w:rPr>
          <w:rFonts w:hint="eastAsia" w:ascii="黑体" w:hAnsi="黑体" w:eastAsia="黑体" w:cs="黑体"/>
          <w:bCs/>
          <w:i w:val="0"/>
          <w:iCs w:val="0"/>
          <w:sz w:val="48"/>
          <w:szCs w:val="48"/>
          <w:highlight w:val="none"/>
          <w:u w:val="single"/>
        </w:rPr>
        <w:t xml:space="preserve">      </w:t>
      </w:r>
      <w:r>
        <w:rPr>
          <w:rFonts w:hint="eastAsia" w:ascii="黑体" w:hAnsi="黑体" w:eastAsia="黑体" w:cs="黑体"/>
          <w:bCs/>
          <w:i w:val="0"/>
          <w:iCs w:val="0"/>
          <w:sz w:val="48"/>
          <w:szCs w:val="48"/>
          <w:highlight w:val="none"/>
        </w:rPr>
        <w:t>（标段名称）</w:t>
      </w:r>
    </w:p>
    <w:p>
      <w:pPr>
        <w:rPr>
          <w:i w:val="0"/>
          <w:iCs w:val="0"/>
          <w:sz w:val="28"/>
          <w:szCs w:val="28"/>
          <w:highlight w:val="none"/>
        </w:rPr>
      </w:pPr>
    </w:p>
    <w:p>
      <w:pPr>
        <w:rPr>
          <w:i w:val="0"/>
          <w:iCs w:val="0"/>
          <w:sz w:val="28"/>
          <w:szCs w:val="28"/>
          <w:highlight w:val="none"/>
        </w:rPr>
      </w:pPr>
    </w:p>
    <w:p>
      <w:pPr>
        <w:jc w:val="center"/>
        <w:rPr>
          <w:rFonts w:ascii="黑体" w:eastAsia="黑体"/>
          <w:i w:val="0"/>
          <w:iCs w:val="0"/>
          <w:sz w:val="72"/>
          <w:szCs w:val="72"/>
          <w:highlight w:val="none"/>
        </w:rPr>
      </w:pPr>
      <w:r>
        <w:rPr>
          <w:rFonts w:hint="eastAsia" w:ascii="黑体" w:eastAsia="黑体"/>
          <w:i w:val="0"/>
          <w:iCs w:val="0"/>
          <w:sz w:val="72"/>
          <w:szCs w:val="72"/>
          <w:highlight w:val="none"/>
        </w:rPr>
        <w:t>招 标 文 件</w:t>
      </w: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r>
        <w:rPr>
          <w:i w:val="0"/>
          <w:iCs w:val="0"/>
          <w:highlight w:val="none"/>
        </w:rPr>
        <w:t xml:space="preserve"> </w:t>
      </w: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400" w:lineRule="exact"/>
        <w:rPr>
          <w:i w:val="0"/>
          <w:iCs w:val="0"/>
          <w:highlight w:val="none"/>
        </w:rPr>
      </w:pPr>
    </w:p>
    <w:p>
      <w:pPr>
        <w:spacing w:line="360" w:lineRule="auto"/>
        <w:ind w:firstLine="855" w:firstLineChars="284"/>
        <w:rPr>
          <w:rFonts w:hint="eastAsia" w:ascii="宋体" w:hAnsi="宋体" w:cs="宋体"/>
          <w:b/>
          <w:i w:val="0"/>
          <w:iCs w:val="0"/>
          <w:sz w:val="30"/>
          <w:szCs w:val="30"/>
          <w:highlight w:val="none"/>
        </w:rPr>
      </w:pPr>
      <w:bookmarkStart w:id="0" w:name="_Toc256690495"/>
      <w:bookmarkStart w:id="1" w:name="_Toc152042286"/>
      <w:bookmarkStart w:id="2" w:name="_Toc144974478"/>
      <w:bookmarkStart w:id="3" w:name="_Toc71822592"/>
      <w:bookmarkStart w:id="4" w:name="_Toc300834926"/>
      <w:bookmarkStart w:id="5" w:name="_Toc71876223"/>
      <w:bookmarkStart w:id="6" w:name="_Toc247527532"/>
      <w:r>
        <w:rPr>
          <w:rFonts w:hint="eastAsia" w:ascii="宋体" w:hAnsi="宋体" w:cs="宋体"/>
          <w:b/>
          <w:i w:val="0"/>
          <w:iCs w:val="0"/>
          <w:sz w:val="30"/>
          <w:szCs w:val="30"/>
          <w:highlight w:val="none"/>
        </w:rPr>
        <w:t>招   标   人：</w:t>
      </w:r>
      <w:r>
        <w:rPr>
          <w:rFonts w:hint="eastAsia" w:ascii="宋体" w:hAnsi="宋体" w:cs="宋体"/>
          <w:b/>
          <w:i w:val="0"/>
          <w:iCs w:val="0"/>
          <w:sz w:val="30"/>
          <w:szCs w:val="30"/>
          <w:highlight w:val="none"/>
          <w:u w:val="single"/>
        </w:rPr>
        <w:t xml:space="preserve">                     </w:t>
      </w:r>
      <w:bookmarkEnd w:id="0"/>
      <w:r>
        <w:rPr>
          <w:rFonts w:hint="eastAsia" w:ascii="宋体" w:hAnsi="宋体" w:cs="宋体"/>
          <w:b/>
          <w:i w:val="0"/>
          <w:iCs w:val="0"/>
          <w:sz w:val="30"/>
          <w:szCs w:val="30"/>
          <w:highlight w:val="none"/>
          <w:u w:val="single"/>
        </w:rPr>
        <w:t>（盖单位章）</w:t>
      </w:r>
    </w:p>
    <w:p>
      <w:pPr>
        <w:spacing w:line="360" w:lineRule="auto"/>
        <w:ind w:firstLine="855" w:firstLineChars="284"/>
        <w:rPr>
          <w:rFonts w:hint="eastAsia" w:ascii="宋体" w:hAnsi="宋体" w:cs="宋体"/>
          <w:b/>
          <w:i w:val="0"/>
          <w:iCs w:val="0"/>
          <w:sz w:val="30"/>
          <w:szCs w:val="30"/>
          <w:highlight w:val="none"/>
          <w:u w:val="single"/>
        </w:rPr>
      </w:pPr>
      <w:r>
        <w:rPr>
          <w:rFonts w:hint="eastAsia" w:ascii="宋体" w:hAnsi="宋体" w:cs="宋体"/>
          <w:b/>
          <w:i w:val="0"/>
          <w:iCs w:val="0"/>
          <w:sz w:val="30"/>
          <w:szCs w:val="30"/>
          <w:highlight w:val="none"/>
        </w:rPr>
        <w:t>招标代理机构：</w:t>
      </w:r>
      <w:r>
        <w:rPr>
          <w:rFonts w:hint="eastAsia" w:ascii="宋体" w:hAnsi="宋体" w:cs="宋体"/>
          <w:b/>
          <w:i w:val="0"/>
          <w:iCs w:val="0"/>
          <w:sz w:val="30"/>
          <w:szCs w:val="30"/>
          <w:highlight w:val="none"/>
          <w:u w:val="single"/>
        </w:rPr>
        <w:t xml:space="preserve">                     （盖单位章）</w:t>
      </w:r>
    </w:p>
    <w:p>
      <w:pPr>
        <w:jc w:val="center"/>
        <w:rPr>
          <w:rFonts w:hint="eastAsia" w:ascii="宋体" w:hAnsi="宋体" w:cs="宋体"/>
          <w:b/>
          <w:i w:val="0"/>
          <w:iCs w:val="0"/>
          <w:sz w:val="30"/>
          <w:szCs w:val="30"/>
          <w:highlight w:val="none"/>
        </w:rPr>
      </w:pPr>
      <w:bookmarkStart w:id="7" w:name="_Toc256690496"/>
      <w:r>
        <w:rPr>
          <w:rFonts w:hint="eastAsia" w:ascii="宋体" w:hAnsi="宋体" w:cs="宋体"/>
          <w:b/>
          <w:i w:val="0"/>
          <w:iCs w:val="0"/>
          <w:sz w:val="30"/>
          <w:szCs w:val="30"/>
          <w:highlight w:val="none"/>
        </w:rPr>
        <w:t>年     月     日</w:t>
      </w:r>
      <w:bookmarkEnd w:id="7"/>
    </w:p>
    <w:p>
      <w:pPr>
        <w:widowControl/>
        <w:jc w:val="center"/>
        <w:outlineLvl w:val="0"/>
        <w:rPr>
          <w:rFonts w:hint="eastAsia" w:ascii="宋体" w:hAnsi="宋体" w:cs="宋体"/>
          <w:b/>
          <w:i w:val="0"/>
          <w:iCs w:val="0"/>
          <w:kern w:val="0"/>
          <w:sz w:val="44"/>
          <w:szCs w:val="44"/>
          <w:highlight w:val="none"/>
          <w:lang w:val="zh-CN"/>
        </w:rPr>
        <w:sectPr>
          <w:footerReference r:id="rId4" w:type="default"/>
          <w:pgSz w:w="11906" w:h="16838"/>
          <w:pgMar w:top="2098" w:right="1474" w:bottom="1984" w:left="1587" w:header="851" w:footer="992" w:gutter="0"/>
          <w:pgBorders>
            <w:top w:val="none" w:sz="0" w:space="0"/>
            <w:left w:val="none" w:sz="0" w:space="0"/>
            <w:bottom w:val="none" w:sz="0" w:space="0"/>
            <w:right w:val="none" w:sz="0" w:space="0"/>
          </w:pgBorders>
          <w:cols w:space="720" w:num="1"/>
          <w:formProt w:val="0"/>
          <w:docGrid w:linePitch="312" w:charSpace="0"/>
        </w:sectPr>
      </w:pPr>
    </w:p>
    <w:p>
      <w:pPr>
        <w:pStyle w:val="2"/>
        <w:jc w:val="center"/>
        <w:rPr>
          <w:i w:val="0"/>
          <w:iCs w:val="0"/>
          <w:sz w:val="32"/>
          <w:szCs w:val="32"/>
          <w:highlight w:val="none"/>
        </w:rPr>
      </w:pPr>
      <w:bookmarkStart w:id="8" w:name="_Toc20728"/>
      <w:bookmarkStart w:id="9" w:name="_Toc12904"/>
      <w:bookmarkStart w:id="10" w:name="_Toc5642"/>
      <w:r>
        <w:rPr>
          <w:rFonts w:hint="eastAsia"/>
          <w:i w:val="0"/>
          <w:iCs w:val="0"/>
          <w:sz w:val="32"/>
          <w:szCs w:val="32"/>
          <w:highlight w:val="none"/>
        </w:rPr>
        <w:t>目     录</w:t>
      </w:r>
      <w:bookmarkEnd w:id="1"/>
      <w:bookmarkEnd w:id="2"/>
      <w:bookmarkEnd w:id="3"/>
      <w:bookmarkEnd w:id="4"/>
      <w:bookmarkEnd w:id="5"/>
      <w:bookmarkEnd w:id="6"/>
      <w:bookmarkEnd w:id="8"/>
      <w:bookmarkEnd w:id="9"/>
      <w:bookmarkEnd w:id="10"/>
    </w:p>
    <w:p>
      <w:pPr>
        <w:pStyle w:val="27"/>
        <w:tabs>
          <w:tab w:val="right" w:leader="dot" w:pos="9070"/>
        </w:tabs>
        <w:rPr>
          <w:i w:val="0"/>
          <w:iCs w:val="0"/>
        </w:rPr>
      </w:pPr>
      <w:bookmarkStart w:id="11" w:name="_Toc247513932"/>
      <w:bookmarkStart w:id="12" w:name="_Toc247527533"/>
      <w:bookmarkStart w:id="13" w:name="_Toc152042287"/>
      <w:bookmarkStart w:id="14" w:name="_Toc144974479"/>
      <w:bookmarkStart w:id="15" w:name="_Toc152045511"/>
      <w:r>
        <w:rPr>
          <w:rFonts w:ascii="宋体" w:hAnsi="宋体"/>
          <w:b w:val="0"/>
          <w:i w:val="0"/>
          <w:iCs w:val="0"/>
          <w:highlight w:val="none"/>
        </w:rPr>
        <w:fldChar w:fldCharType="begin"/>
      </w:r>
      <w:r>
        <w:rPr>
          <w:rFonts w:ascii="宋体" w:hAnsi="宋体"/>
          <w:b w:val="0"/>
          <w:i w:val="0"/>
          <w:iCs w:val="0"/>
          <w:highlight w:val="none"/>
        </w:rPr>
        <w:instrText xml:space="preserve"> TOC \o "1-2" \h \z \u </w:instrText>
      </w:r>
      <w:r>
        <w:rPr>
          <w:rFonts w:ascii="宋体" w:hAnsi="宋体"/>
          <w:b w:val="0"/>
          <w:i w:val="0"/>
          <w:iCs w:val="0"/>
          <w:highlight w:val="none"/>
        </w:rPr>
        <w:fldChar w:fldCharType="separate"/>
      </w:r>
      <w:r>
        <w:rPr>
          <w:rFonts w:ascii="宋体" w:hAnsi="宋体"/>
          <w:i w:val="0"/>
          <w:iCs w:val="0"/>
          <w:szCs w:val="20"/>
          <w:highlight w:val="none"/>
        </w:rPr>
        <w:fldChar w:fldCharType="begin"/>
      </w:r>
      <w:r>
        <w:rPr>
          <w:rFonts w:ascii="宋体" w:hAnsi="宋体"/>
          <w:i w:val="0"/>
          <w:iCs w:val="0"/>
          <w:szCs w:val="20"/>
          <w:highlight w:val="none"/>
        </w:rPr>
        <w:instrText xml:space="preserve"> HYPERLINK \l _Toc29220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第一卷</w:t>
      </w:r>
      <w:r>
        <w:rPr>
          <w:i w:val="0"/>
          <w:iCs w:val="0"/>
        </w:rPr>
        <w:tab/>
      </w:r>
      <w:r>
        <w:rPr>
          <w:i w:val="0"/>
          <w:iCs w:val="0"/>
        </w:rPr>
        <w:fldChar w:fldCharType="begin"/>
      </w:r>
      <w:r>
        <w:rPr>
          <w:i w:val="0"/>
          <w:iCs w:val="0"/>
        </w:rPr>
        <w:instrText xml:space="preserve"> PAGEREF _Toc29220 </w:instrText>
      </w:r>
      <w:r>
        <w:rPr>
          <w:i w:val="0"/>
          <w:iCs w:val="0"/>
        </w:rPr>
        <w:fldChar w:fldCharType="separate"/>
      </w:r>
      <w:r>
        <w:rPr>
          <w:i w:val="0"/>
          <w:iCs w:val="0"/>
        </w:rPr>
        <w:t>1</w:t>
      </w:r>
      <w:r>
        <w:rPr>
          <w:i w:val="0"/>
          <w:iCs w:val="0"/>
        </w:rPr>
        <w:fldChar w:fldCharType="end"/>
      </w:r>
      <w:r>
        <w:rPr>
          <w:rFonts w:ascii="宋体" w:hAnsi="宋体"/>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_Toc12516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第一章 招标公告（</w:t>
      </w:r>
      <w:r>
        <w:rPr>
          <w:rFonts w:hint="eastAsia" w:ascii="黑体" w:hAnsi="黑体" w:eastAsia="黑体"/>
          <w:bCs w:val="0"/>
          <w:i w:val="0"/>
          <w:iCs w:val="0"/>
          <w:highlight w:val="none"/>
          <w:lang w:val="en-US" w:eastAsia="zh-CN"/>
        </w:rPr>
        <w:t>适用于</w:t>
      </w:r>
      <w:r>
        <w:rPr>
          <w:rFonts w:hint="eastAsia" w:ascii="黑体" w:hAnsi="黑体" w:eastAsia="黑体" w:cs="黑体"/>
          <w:bCs w:val="0"/>
          <w:i w:val="0"/>
          <w:iCs w:val="0"/>
          <w:highlight w:val="none"/>
        </w:rPr>
        <w:t>未进行资格预审）</w:t>
      </w:r>
      <w:r>
        <w:rPr>
          <w:i w:val="0"/>
          <w:iCs w:val="0"/>
        </w:rPr>
        <w:tab/>
      </w:r>
      <w:r>
        <w:rPr>
          <w:i w:val="0"/>
          <w:iCs w:val="0"/>
        </w:rPr>
        <w:fldChar w:fldCharType="begin"/>
      </w:r>
      <w:r>
        <w:rPr>
          <w:i w:val="0"/>
          <w:iCs w:val="0"/>
        </w:rPr>
        <w:instrText xml:space="preserve"> PAGEREF _Toc12516 </w:instrText>
      </w:r>
      <w:r>
        <w:rPr>
          <w:i w:val="0"/>
          <w:iCs w:val="0"/>
        </w:rPr>
        <w:fldChar w:fldCharType="separate"/>
      </w:r>
      <w:r>
        <w:rPr>
          <w:i w:val="0"/>
          <w:iCs w:val="0"/>
        </w:rPr>
        <w:t>1</w:t>
      </w:r>
      <w:r>
        <w:rPr>
          <w:i w:val="0"/>
          <w:iCs w:val="0"/>
        </w:rPr>
        <w:fldChar w:fldCharType="end"/>
      </w:r>
      <w:r>
        <w:rPr>
          <w:rFonts w:ascii="宋体" w:hAnsi="宋体"/>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_Toc4461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1. 招标条件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_Toc4461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_Toc6052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2. 项目概况与招标范围</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_Toc6052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_Toc21240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3. 投标人资格要求</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_Toc21240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_Toc9925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4.</w:t>
      </w:r>
      <w:r>
        <w:rPr>
          <w:rFonts w:hint="eastAsia" w:asciiTheme="minorEastAsia" w:hAnsiTheme="minorEastAsia" w:eastAsiaTheme="minorEastAsia" w:cstheme="minorEastAsia"/>
          <w:bCs w:val="0"/>
          <w:i w:val="0"/>
          <w:iCs w:val="0"/>
          <w:highlight w:val="none"/>
          <w:lang w:val="en-US" w:eastAsia="zh-CN"/>
        </w:rPr>
        <w:t xml:space="preserve"> </w:t>
      </w:r>
      <w:r>
        <w:rPr>
          <w:rFonts w:hint="eastAsia" w:asciiTheme="minorEastAsia" w:hAnsiTheme="minorEastAsia" w:eastAsiaTheme="minorEastAsia" w:cstheme="minorEastAsia"/>
          <w:bCs w:val="0"/>
          <w:i w:val="0"/>
          <w:iCs w:val="0"/>
          <w:highlight w:val="none"/>
        </w:rPr>
        <w:t>关注项目</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_Toc9925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_Toc2807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lang w:val="en-US" w:eastAsia="zh-CN"/>
        </w:rPr>
        <w:t>5</w:t>
      </w:r>
      <w:r>
        <w:rPr>
          <w:rFonts w:hint="eastAsia" w:asciiTheme="minorEastAsia" w:hAnsiTheme="minorEastAsia" w:eastAsiaTheme="minorEastAsia" w:cstheme="minorEastAsia"/>
          <w:bCs w:val="0"/>
          <w:i w:val="0"/>
          <w:iCs w:val="0"/>
          <w:highlight w:val="none"/>
        </w:rPr>
        <w:t>. 招标文件的获取</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_Toc2807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_Toc11460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lang w:val="en-US" w:eastAsia="zh-CN"/>
        </w:rPr>
        <w:t>6</w:t>
      </w:r>
      <w:r>
        <w:rPr>
          <w:rFonts w:hint="eastAsia" w:asciiTheme="minorEastAsia" w:hAnsiTheme="minorEastAsia" w:eastAsiaTheme="minorEastAsia" w:cstheme="minorEastAsia"/>
          <w:bCs w:val="0"/>
          <w:i w:val="0"/>
          <w:iCs w:val="0"/>
          <w:highlight w:val="none"/>
        </w:rPr>
        <w:t>. 投标文件的递交</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_Toc11460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_Toc21667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lang w:val="en-US" w:eastAsia="zh-CN"/>
        </w:rPr>
        <w:t>7</w:t>
      </w:r>
      <w:r>
        <w:rPr>
          <w:rFonts w:hint="eastAsia" w:asciiTheme="minorEastAsia" w:hAnsiTheme="minorEastAsia" w:eastAsiaTheme="minorEastAsia" w:cstheme="minorEastAsia"/>
          <w:bCs w:val="0"/>
          <w:i w:val="0"/>
          <w:iCs w:val="0"/>
          <w:highlight w:val="none"/>
        </w:rPr>
        <w:t>.</w:t>
      </w:r>
      <w:r>
        <w:rPr>
          <w:rFonts w:hint="eastAsia" w:asciiTheme="minorEastAsia" w:hAnsiTheme="minorEastAsia" w:eastAsiaTheme="minorEastAsia" w:cstheme="minorEastAsia"/>
          <w:bCs w:val="0"/>
          <w:i w:val="0"/>
          <w:iCs w:val="0"/>
          <w:highlight w:val="none"/>
          <w:lang w:val="en-US" w:eastAsia="zh-CN"/>
        </w:rPr>
        <w:t xml:space="preserve"> </w:t>
      </w:r>
      <w:r>
        <w:rPr>
          <w:rFonts w:hint="eastAsia" w:asciiTheme="minorEastAsia" w:hAnsiTheme="minorEastAsia" w:eastAsiaTheme="minorEastAsia" w:cstheme="minorEastAsia"/>
          <w:bCs w:val="0"/>
          <w:i w:val="0"/>
          <w:iCs w:val="0"/>
          <w:highlight w:val="none"/>
        </w:rPr>
        <w:t>开标时间及地点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_Toc21667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_Toc3043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lang w:val="en-US" w:eastAsia="zh-CN"/>
        </w:rPr>
        <w:t>8</w:t>
      </w:r>
      <w:r>
        <w:rPr>
          <w:rFonts w:hint="eastAsia" w:asciiTheme="minorEastAsia" w:hAnsiTheme="minorEastAsia" w:eastAsiaTheme="minorEastAsia" w:cstheme="minorEastAsia"/>
          <w:bCs w:val="0"/>
          <w:i w:val="0"/>
          <w:iCs w:val="0"/>
          <w:highlight w:val="none"/>
        </w:rPr>
        <w:t>. 踏勘现场和投标预备会</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_Toc3043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_Toc5496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lang w:val="en-US" w:eastAsia="zh-CN"/>
        </w:rPr>
        <w:t>9</w:t>
      </w:r>
      <w:r>
        <w:rPr>
          <w:rFonts w:hint="eastAsia" w:asciiTheme="minorEastAsia" w:hAnsiTheme="minorEastAsia" w:eastAsiaTheme="minorEastAsia" w:cstheme="minorEastAsia"/>
          <w:bCs w:val="0"/>
          <w:i w:val="0"/>
          <w:iCs w:val="0"/>
          <w:highlight w:val="none"/>
        </w:rPr>
        <w:t>. 发布公告的媒介</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_Toc5496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_Toc30443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lang w:val="en-US" w:eastAsia="zh-CN"/>
        </w:rPr>
        <w:t>10</w:t>
      </w:r>
      <w:r>
        <w:rPr>
          <w:rFonts w:hint="eastAsia" w:asciiTheme="minorEastAsia" w:hAnsiTheme="minorEastAsia" w:eastAsiaTheme="minorEastAsia" w:cstheme="minorEastAsia"/>
          <w:bCs w:val="0"/>
          <w:i w:val="0"/>
          <w:iCs w:val="0"/>
          <w:highlight w:val="none"/>
        </w:rPr>
        <w:t>. 注意事项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_Toc30443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_Toc29552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rPr>
        <w:t xml:space="preserve">11. </w:t>
      </w:r>
      <w:r>
        <w:rPr>
          <w:rFonts w:hint="eastAsia" w:asciiTheme="minorEastAsia" w:hAnsiTheme="minorEastAsia" w:eastAsiaTheme="minorEastAsia" w:cstheme="minorEastAsia"/>
          <w:bCs w:val="0"/>
          <w:i w:val="0"/>
          <w:iCs w:val="0"/>
          <w:highlight w:val="none"/>
        </w:rPr>
        <w:t>联系方式</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_Toc29552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_Toc2290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第一章 投标邀请书（适用于邀请招标）</w:t>
      </w:r>
      <w:r>
        <w:rPr>
          <w:i w:val="0"/>
          <w:iCs w:val="0"/>
        </w:rPr>
        <w:tab/>
      </w:r>
      <w:r>
        <w:rPr>
          <w:i w:val="0"/>
          <w:iCs w:val="0"/>
        </w:rPr>
        <w:fldChar w:fldCharType="begin"/>
      </w:r>
      <w:r>
        <w:rPr>
          <w:i w:val="0"/>
          <w:iCs w:val="0"/>
        </w:rPr>
        <w:instrText xml:space="preserve"> PAGEREF _Toc2290 </w:instrText>
      </w:r>
      <w:r>
        <w:rPr>
          <w:i w:val="0"/>
          <w:iCs w:val="0"/>
        </w:rPr>
        <w:fldChar w:fldCharType="separate"/>
      </w:r>
      <w:r>
        <w:rPr>
          <w:i w:val="0"/>
          <w:iCs w:val="0"/>
        </w:rPr>
        <w:t>5</w:t>
      </w:r>
      <w:r>
        <w:rPr>
          <w:i w:val="0"/>
          <w:iCs w:val="0"/>
        </w:rPr>
        <w:fldChar w:fldCharType="end"/>
      </w:r>
      <w:r>
        <w:rPr>
          <w:rFonts w:ascii="宋体" w:hAnsi="宋体"/>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_Toc7723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1. 招标条件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_Toc7723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_Toc14456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2. 项目概况与招标范围</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_Toc14456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_Toc2581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3. 投标人资格要求</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_Toc2581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_Toc26719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4. 招标文件的获取</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_Toc26719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_Toc30225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5. 投标文件的递交</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_Toc30225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_Toc11642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6.</w:t>
      </w:r>
      <w:r>
        <w:rPr>
          <w:rFonts w:hint="eastAsia" w:asciiTheme="minorEastAsia" w:hAnsiTheme="minorEastAsia" w:eastAsiaTheme="minorEastAsia" w:cstheme="minorEastAsia"/>
          <w:bCs w:val="0"/>
          <w:i w:val="0"/>
          <w:iCs w:val="0"/>
          <w:highlight w:val="none"/>
          <w:lang w:val="en-US" w:eastAsia="zh-CN"/>
        </w:rPr>
        <w:t xml:space="preserve"> </w:t>
      </w:r>
      <w:r>
        <w:rPr>
          <w:rFonts w:hint="eastAsia" w:asciiTheme="minorEastAsia" w:hAnsiTheme="minorEastAsia" w:eastAsiaTheme="minorEastAsia" w:cstheme="minorEastAsia"/>
          <w:bCs w:val="0"/>
          <w:i w:val="0"/>
          <w:iCs w:val="0"/>
          <w:highlight w:val="none"/>
        </w:rPr>
        <w:t>开标时间及地点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_Toc11642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_Toc5941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7. 踏勘现场和投标预备会</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_Toc5941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_Toc21966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8. 确认</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_Toc21966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_Toc25491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9. 注意事项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_Toc25491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_Toc26307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1</w:t>
      </w:r>
      <w:r>
        <w:rPr>
          <w:rFonts w:hint="eastAsia" w:asciiTheme="minorEastAsia" w:hAnsiTheme="minorEastAsia" w:eastAsiaTheme="minorEastAsia" w:cstheme="minorEastAsia"/>
          <w:bCs w:val="0"/>
          <w:i w:val="0"/>
          <w:iCs w:val="0"/>
          <w:highlight w:val="none"/>
          <w:lang w:val="en-US" w:eastAsia="zh-CN"/>
        </w:rPr>
        <w:t>0</w:t>
      </w:r>
      <w:r>
        <w:rPr>
          <w:rFonts w:hint="eastAsia" w:asciiTheme="minorEastAsia" w:hAnsiTheme="minorEastAsia" w:eastAsiaTheme="minorEastAsia" w:cstheme="minorEastAsia"/>
          <w:bCs w:val="0"/>
          <w:i w:val="0"/>
          <w:iCs w:val="0"/>
          <w:highlight w:val="none"/>
        </w:rPr>
        <w:t>.</w:t>
      </w:r>
      <w:r>
        <w:rPr>
          <w:rFonts w:hint="eastAsia" w:asciiTheme="minorEastAsia" w:hAnsiTheme="minorEastAsia" w:eastAsiaTheme="minorEastAsia" w:cstheme="minorEastAsia"/>
          <w:bCs w:val="0"/>
          <w:i w:val="0"/>
          <w:iCs w:val="0"/>
          <w:highlight w:val="none"/>
          <w:lang w:val="en-US" w:eastAsia="zh-CN"/>
        </w:rPr>
        <w:t xml:space="preserve"> </w:t>
      </w:r>
      <w:r>
        <w:rPr>
          <w:rFonts w:hint="eastAsia" w:asciiTheme="minorEastAsia" w:hAnsiTheme="minorEastAsia" w:eastAsiaTheme="minorEastAsia" w:cstheme="minorEastAsia"/>
          <w:bCs w:val="0"/>
          <w:i w:val="0"/>
          <w:iCs w:val="0"/>
          <w:highlight w:val="none"/>
        </w:rPr>
        <w:t>联系方式</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_Toc26307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_Toc31785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第二章 投标人须知</w:t>
      </w:r>
      <w:r>
        <w:rPr>
          <w:i w:val="0"/>
          <w:iCs w:val="0"/>
        </w:rPr>
        <w:tab/>
      </w:r>
      <w:r>
        <w:rPr>
          <w:i w:val="0"/>
          <w:iCs w:val="0"/>
        </w:rPr>
        <w:fldChar w:fldCharType="begin"/>
      </w:r>
      <w:r>
        <w:rPr>
          <w:i w:val="0"/>
          <w:iCs w:val="0"/>
        </w:rPr>
        <w:instrText xml:space="preserve"> PAGEREF _Toc31785 </w:instrText>
      </w:r>
      <w:r>
        <w:rPr>
          <w:i w:val="0"/>
          <w:iCs w:val="0"/>
        </w:rPr>
        <w:fldChar w:fldCharType="separate"/>
      </w:r>
      <w:r>
        <w:rPr>
          <w:i w:val="0"/>
          <w:iCs w:val="0"/>
        </w:rPr>
        <w:t>9</w:t>
      </w:r>
      <w:r>
        <w:rPr>
          <w:i w:val="0"/>
          <w:iCs w:val="0"/>
        </w:rPr>
        <w:fldChar w:fldCharType="end"/>
      </w:r>
      <w:r>
        <w:rPr>
          <w:rFonts w:ascii="宋体" w:hAnsi="宋体"/>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_Toc12743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投标人须知前附表</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_Toc12743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_Toc30570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1. 总则</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_Toc30570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_Toc23358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2. 招标文件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_Toc23358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_Toc6400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3. 投标文件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_Toc6400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20</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_Toc19884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4. 投标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_Toc19884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_Toc10428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5. 开标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_Toc10428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_Toc9090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6. 评标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_Toc9090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bCs w:val="0"/>
          <w:i w:val="0"/>
          <w:iCs w:val="0"/>
          <w:highlight w:val="none"/>
        </w:rPr>
      </w:pPr>
      <w:r>
        <w:rPr>
          <w:rFonts w:hint="eastAsia" w:asciiTheme="minorEastAsia" w:hAnsiTheme="minorEastAsia" w:eastAsiaTheme="minorEastAsia" w:cstheme="minorEastAsia"/>
          <w:bCs w:val="0"/>
          <w:i w:val="0"/>
          <w:iCs w:val="0"/>
          <w:highlight w:val="none"/>
        </w:rPr>
        <w:fldChar w:fldCharType="begin"/>
      </w:r>
      <w:r>
        <w:rPr>
          <w:rFonts w:hint="eastAsia" w:asciiTheme="minorEastAsia" w:hAnsiTheme="minorEastAsia" w:eastAsiaTheme="minorEastAsia" w:cstheme="minorEastAsia"/>
          <w:bCs w:val="0"/>
          <w:i w:val="0"/>
          <w:iCs w:val="0"/>
          <w:highlight w:val="none"/>
        </w:rPr>
        <w:instrText xml:space="preserve"> HYPERLINK \l _Toc27076 </w:instrText>
      </w:r>
      <w:r>
        <w:rPr>
          <w:rFonts w:hint="eastAsia" w:asciiTheme="minorEastAsia" w:hAnsiTheme="minorEastAsia" w:eastAsiaTheme="minorEastAsia" w:cstheme="minorEastAsia"/>
          <w:bCs w:val="0"/>
          <w:i w:val="0"/>
          <w:iCs w:val="0"/>
          <w:highlight w:val="none"/>
        </w:rPr>
        <w:fldChar w:fldCharType="separate"/>
      </w:r>
      <w:r>
        <w:rPr>
          <w:rFonts w:hint="eastAsia" w:asciiTheme="minorEastAsia" w:hAnsiTheme="minorEastAsia" w:eastAsiaTheme="minorEastAsia" w:cstheme="minorEastAsia"/>
          <w:bCs w:val="0"/>
          <w:i w:val="0"/>
          <w:iCs w:val="0"/>
          <w:highlight w:val="none"/>
        </w:rPr>
        <w:t>7. 合同授予</w:t>
      </w:r>
      <w:r>
        <w:rPr>
          <w:rFonts w:hint="eastAsia" w:asciiTheme="minorEastAsia" w:hAnsiTheme="minorEastAsia" w:eastAsiaTheme="minorEastAsia" w:cstheme="minorEastAsia"/>
          <w:bCs w:val="0"/>
          <w:i w:val="0"/>
          <w:iCs w:val="0"/>
          <w:highlight w:val="none"/>
        </w:rPr>
        <w:tab/>
      </w:r>
      <w:r>
        <w:rPr>
          <w:rFonts w:hint="eastAsia" w:asciiTheme="minorEastAsia" w:hAnsiTheme="minorEastAsia" w:eastAsiaTheme="minorEastAsia" w:cstheme="minorEastAsia"/>
          <w:bCs w:val="0"/>
          <w:i w:val="0"/>
          <w:iCs w:val="0"/>
          <w:highlight w:val="none"/>
        </w:rPr>
        <w:fldChar w:fldCharType="begin"/>
      </w:r>
      <w:r>
        <w:rPr>
          <w:rFonts w:hint="eastAsia" w:asciiTheme="minorEastAsia" w:hAnsiTheme="minorEastAsia" w:eastAsiaTheme="minorEastAsia" w:cstheme="minorEastAsia"/>
          <w:bCs w:val="0"/>
          <w:i w:val="0"/>
          <w:iCs w:val="0"/>
          <w:highlight w:val="none"/>
        </w:rPr>
        <w:instrText xml:space="preserve"> PAGEREF _Toc27076 </w:instrText>
      </w:r>
      <w:r>
        <w:rPr>
          <w:rFonts w:hint="eastAsia" w:asciiTheme="minorEastAsia" w:hAnsiTheme="minorEastAsia" w:eastAsiaTheme="minorEastAsia" w:cstheme="minorEastAsia"/>
          <w:bCs w:val="0"/>
          <w:i w:val="0"/>
          <w:iCs w:val="0"/>
          <w:highlight w:val="none"/>
        </w:rPr>
        <w:fldChar w:fldCharType="separate"/>
      </w:r>
      <w:r>
        <w:rPr>
          <w:rFonts w:hint="eastAsia" w:asciiTheme="minorEastAsia" w:hAnsiTheme="minorEastAsia" w:eastAsiaTheme="minorEastAsia" w:cstheme="minorEastAsia"/>
          <w:bCs w:val="0"/>
          <w:i w:val="0"/>
          <w:iCs w:val="0"/>
          <w:highlight w:val="none"/>
        </w:rPr>
        <w:t>26</w:t>
      </w:r>
      <w:r>
        <w:rPr>
          <w:rFonts w:hint="eastAsia" w:asciiTheme="minorEastAsia" w:hAnsiTheme="minorEastAsia" w:eastAsiaTheme="minorEastAsia" w:cstheme="minorEastAsia"/>
          <w:bCs w:val="0"/>
          <w:i w:val="0"/>
          <w:iCs w:val="0"/>
          <w:highlight w:val="none"/>
        </w:rPr>
        <w:fldChar w:fldCharType="end"/>
      </w:r>
      <w:r>
        <w:rPr>
          <w:rFonts w:hint="eastAsia" w:asciiTheme="minorEastAsia" w:hAnsiTheme="minorEastAsia" w:eastAsiaTheme="minorEastAsia" w:cstheme="minorEastAsia"/>
          <w:bCs w:val="0"/>
          <w:i w:val="0"/>
          <w:iCs w:val="0"/>
          <w:highlight w:val="none"/>
        </w:rPr>
        <w:fldChar w:fldCharType="end"/>
      </w:r>
    </w:p>
    <w:p>
      <w:pPr>
        <w:pStyle w:val="32"/>
        <w:tabs>
          <w:tab w:val="right" w:leader="dot" w:pos="9070"/>
        </w:tabs>
        <w:rPr>
          <w:rFonts w:hint="eastAsia" w:asciiTheme="minorEastAsia" w:hAnsiTheme="minorEastAsia" w:eastAsiaTheme="minorEastAsia" w:cstheme="minorEastAsia"/>
          <w:bCs w:val="0"/>
          <w:i w:val="0"/>
          <w:iCs w:val="0"/>
          <w:highlight w:val="none"/>
        </w:rPr>
      </w:pPr>
      <w:r>
        <w:rPr>
          <w:rFonts w:hint="eastAsia" w:asciiTheme="minorEastAsia" w:hAnsiTheme="minorEastAsia" w:eastAsiaTheme="minorEastAsia" w:cstheme="minorEastAsia"/>
          <w:bCs w:val="0"/>
          <w:i w:val="0"/>
          <w:iCs w:val="0"/>
          <w:highlight w:val="none"/>
        </w:rPr>
        <w:fldChar w:fldCharType="begin"/>
      </w:r>
      <w:r>
        <w:rPr>
          <w:rFonts w:hint="eastAsia" w:asciiTheme="minorEastAsia" w:hAnsiTheme="minorEastAsia" w:eastAsiaTheme="minorEastAsia" w:cstheme="minorEastAsia"/>
          <w:bCs w:val="0"/>
          <w:i w:val="0"/>
          <w:iCs w:val="0"/>
          <w:highlight w:val="none"/>
        </w:rPr>
        <w:instrText xml:space="preserve"> HYPERLINK \l _Toc9199 </w:instrText>
      </w:r>
      <w:r>
        <w:rPr>
          <w:rFonts w:hint="eastAsia" w:asciiTheme="minorEastAsia" w:hAnsiTheme="minorEastAsia" w:eastAsiaTheme="minorEastAsia" w:cstheme="minorEastAsia"/>
          <w:bCs w:val="0"/>
          <w:i w:val="0"/>
          <w:iCs w:val="0"/>
          <w:highlight w:val="none"/>
        </w:rPr>
        <w:fldChar w:fldCharType="separate"/>
      </w:r>
      <w:r>
        <w:rPr>
          <w:rFonts w:hint="eastAsia" w:asciiTheme="minorEastAsia" w:hAnsiTheme="minorEastAsia" w:eastAsiaTheme="minorEastAsia" w:cstheme="minorEastAsia"/>
          <w:bCs w:val="0"/>
          <w:i w:val="0"/>
          <w:iCs w:val="0"/>
          <w:highlight w:val="none"/>
        </w:rPr>
        <w:t>8．重新招标和不再招标</w:t>
      </w:r>
      <w:r>
        <w:rPr>
          <w:rFonts w:hint="eastAsia" w:asciiTheme="minorEastAsia" w:hAnsiTheme="minorEastAsia" w:eastAsiaTheme="minorEastAsia" w:cstheme="minorEastAsia"/>
          <w:bCs w:val="0"/>
          <w:i w:val="0"/>
          <w:iCs w:val="0"/>
          <w:highlight w:val="none"/>
        </w:rPr>
        <w:tab/>
      </w:r>
      <w:r>
        <w:rPr>
          <w:rFonts w:hint="eastAsia" w:asciiTheme="minorEastAsia" w:hAnsiTheme="minorEastAsia" w:eastAsiaTheme="minorEastAsia" w:cstheme="minorEastAsia"/>
          <w:bCs w:val="0"/>
          <w:i w:val="0"/>
          <w:iCs w:val="0"/>
          <w:highlight w:val="none"/>
        </w:rPr>
        <w:fldChar w:fldCharType="begin"/>
      </w:r>
      <w:r>
        <w:rPr>
          <w:rFonts w:hint="eastAsia" w:asciiTheme="minorEastAsia" w:hAnsiTheme="minorEastAsia" w:eastAsiaTheme="minorEastAsia" w:cstheme="minorEastAsia"/>
          <w:bCs w:val="0"/>
          <w:i w:val="0"/>
          <w:iCs w:val="0"/>
          <w:highlight w:val="none"/>
        </w:rPr>
        <w:instrText xml:space="preserve"> PAGEREF _Toc9199 </w:instrText>
      </w:r>
      <w:r>
        <w:rPr>
          <w:rFonts w:hint="eastAsia" w:asciiTheme="minorEastAsia" w:hAnsiTheme="minorEastAsia" w:eastAsiaTheme="minorEastAsia" w:cstheme="minorEastAsia"/>
          <w:bCs w:val="0"/>
          <w:i w:val="0"/>
          <w:iCs w:val="0"/>
          <w:highlight w:val="none"/>
        </w:rPr>
        <w:fldChar w:fldCharType="separate"/>
      </w:r>
      <w:r>
        <w:rPr>
          <w:rFonts w:hint="eastAsia" w:asciiTheme="minorEastAsia" w:hAnsiTheme="minorEastAsia" w:eastAsiaTheme="minorEastAsia" w:cstheme="minorEastAsia"/>
          <w:bCs w:val="0"/>
          <w:i w:val="0"/>
          <w:iCs w:val="0"/>
          <w:highlight w:val="none"/>
        </w:rPr>
        <w:t>27</w:t>
      </w:r>
      <w:r>
        <w:rPr>
          <w:rFonts w:hint="eastAsia" w:asciiTheme="minorEastAsia" w:hAnsiTheme="minorEastAsia" w:eastAsiaTheme="minorEastAsia" w:cstheme="minorEastAsia"/>
          <w:bCs w:val="0"/>
          <w:i w:val="0"/>
          <w:iCs w:val="0"/>
          <w:highlight w:val="none"/>
        </w:rPr>
        <w:fldChar w:fldCharType="end"/>
      </w:r>
      <w:r>
        <w:rPr>
          <w:rFonts w:hint="eastAsia" w:asciiTheme="minorEastAsia" w:hAnsiTheme="minorEastAsia" w:eastAsiaTheme="minorEastAsia" w:cstheme="minorEastAsia"/>
          <w:bCs w:val="0"/>
          <w:i w:val="0"/>
          <w:iCs w:val="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bCs w:val="0"/>
          <w:i w:val="0"/>
          <w:iCs w:val="0"/>
          <w:highlight w:val="none"/>
        </w:rPr>
        <w:fldChar w:fldCharType="begin"/>
      </w:r>
      <w:r>
        <w:rPr>
          <w:rFonts w:hint="eastAsia" w:asciiTheme="minorEastAsia" w:hAnsiTheme="minorEastAsia" w:eastAsiaTheme="minorEastAsia" w:cstheme="minorEastAsia"/>
          <w:bCs w:val="0"/>
          <w:i w:val="0"/>
          <w:iCs w:val="0"/>
          <w:highlight w:val="none"/>
        </w:rPr>
        <w:instrText xml:space="preserve"> HYPERLINK \l _Toc31879 </w:instrText>
      </w:r>
      <w:r>
        <w:rPr>
          <w:rFonts w:hint="eastAsia" w:asciiTheme="minorEastAsia" w:hAnsiTheme="minorEastAsia" w:eastAsiaTheme="minorEastAsia" w:cstheme="minorEastAsia"/>
          <w:bCs w:val="0"/>
          <w:i w:val="0"/>
          <w:iCs w:val="0"/>
          <w:highlight w:val="none"/>
        </w:rPr>
        <w:fldChar w:fldCharType="separate"/>
      </w:r>
      <w:r>
        <w:rPr>
          <w:rFonts w:hint="eastAsia" w:asciiTheme="minorEastAsia" w:hAnsiTheme="minorEastAsia" w:eastAsiaTheme="minorEastAsia" w:cstheme="minorEastAsia"/>
          <w:bCs w:val="0"/>
          <w:i w:val="0"/>
          <w:iCs w:val="0"/>
          <w:highlight w:val="none"/>
        </w:rPr>
        <w:t>9. 纪律和监督</w:t>
      </w:r>
      <w:r>
        <w:rPr>
          <w:rFonts w:hint="eastAsia" w:asciiTheme="minorEastAsia" w:hAnsiTheme="minorEastAsia" w:eastAsiaTheme="minorEastAsia" w:cstheme="minorEastAsia"/>
          <w:bCs w:val="0"/>
          <w:i w:val="0"/>
          <w:iCs w:val="0"/>
          <w:highlight w:val="none"/>
        </w:rPr>
        <w:tab/>
      </w:r>
      <w:r>
        <w:rPr>
          <w:rFonts w:hint="eastAsia" w:asciiTheme="minorEastAsia" w:hAnsiTheme="minorEastAsia" w:eastAsiaTheme="minorEastAsia" w:cstheme="minorEastAsia"/>
          <w:bCs w:val="0"/>
          <w:i w:val="0"/>
          <w:iCs w:val="0"/>
          <w:highlight w:val="none"/>
        </w:rPr>
        <w:fldChar w:fldCharType="begin"/>
      </w:r>
      <w:r>
        <w:rPr>
          <w:rFonts w:hint="eastAsia" w:asciiTheme="minorEastAsia" w:hAnsiTheme="minorEastAsia" w:eastAsiaTheme="minorEastAsia" w:cstheme="minorEastAsia"/>
          <w:bCs w:val="0"/>
          <w:i w:val="0"/>
          <w:iCs w:val="0"/>
          <w:highlight w:val="none"/>
        </w:rPr>
        <w:instrText xml:space="preserve"> PAGEREF _Toc31879 </w:instrText>
      </w:r>
      <w:r>
        <w:rPr>
          <w:rFonts w:hint="eastAsia" w:asciiTheme="minorEastAsia" w:hAnsiTheme="minorEastAsia" w:eastAsiaTheme="minorEastAsia" w:cstheme="minorEastAsia"/>
          <w:bCs w:val="0"/>
          <w:i w:val="0"/>
          <w:iCs w:val="0"/>
          <w:highlight w:val="none"/>
        </w:rPr>
        <w:fldChar w:fldCharType="separate"/>
      </w:r>
      <w:r>
        <w:rPr>
          <w:rFonts w:hint="eastAsia" w:asciiTheme="minorEastAsia" w:hAnsiTheme="minorEastAsia" w:eastAsiaTheme="minorEastAsia" w:cstheme="minorEastAsia"/>
          <w:bCs w:val="0"/>
          <w:i w:val="0"/>
          <w:iCs w:val="0"/>
          <w:highlight w:val="none"/>
        </w:rPr>
        <w:t>27</w:t>
      </w:r>
      <w:r>
        <w:rPr>
          <w:rFonts w:hint="eastAsia" w:asciiTheme="minorEastAsia" w:hAnsiTheme="minorEastAsia" w:eastAsiaTheme="minorEastAsia" w:cstheme="minorEastAsia"/>
          <w:bCs w:val="0"/>
          <w:i w:val="0"/>
          <w:iCs w:val="0"/>
          <w:highlight w:val="none"/>
        </w:rPr>
        <w:fldChar w:fldCharType="end"/>
      </w:r>
      <w:r>
        <w:rPr>
          <w:rFonts w:hint="eastAsia" w:asciiTheme="minorEastAsia" w:hAnsiTheme="minorEastAsia" w:eastAsiaTheme="minorEastAsia" w:cstheme="minorEastAsia"/>
          <w:bCs w:val="0"/>
          <w:i w:val="0"/>
          <w:iCs w:val="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_Toc5030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10. 需要补充的其他内容</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_Toc5030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29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_Toc2303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szCs w:val="28"/>
          <w:highlight w:val="none"/>
        </w:rPr>
        <w:t>附件一：招标文件澄清申请函</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_Toc2303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30</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_Toc24705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szCs w:val="28"/>
          <w:highlight w:val="none"/>
        </w:rPr>
        <w:t>附件二：招标文件澄清通知</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_Toc24705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30</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_Toc15427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szCs w:val="28"/>
          <w:highlight w:val="none"/>
        </w:rPr>
        <w:t>附件三：招标文件修改通知</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_Toc15427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_Toc10071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szCs w:val="28"/>
          <w:highlight w:val="none"/>
        </w:rPr>
        <w:t>附件</w:t>
      </w:r>
      <w:r>
        <w:rPr>
          <w:rFonts w:hint="eastAsia" w:asciiTheme="minorEastAsia" w:hAnsiTheme="minorEastAsia" w:eastAsiaTheme="minorEastAsia" w:cstheme="minorEastAsia"/>
          <w:bCs w:val="0"/>
          <w:i w:val="0"/>
          <w:iCs w:val="0"/>
          <w:szCs w:val="28"/>
          <w:highlight w:val="none"/>
          <w:lang w:val="en-US" w:eastAsia="zh-CN"/>
        </w:rPr>
        <w:t>四</w:t>
      </w:r>
      <w:r>
        <w:rPr>
          <w:rFonts w:hint="eastAsia" w:asciiTheme="minorEastAsia" w:hAnsiTheme="minorEastAsia" w:eastAsiaTheme="minorEastAsia" w:cstheme="minorEastAsia"/>
          <w:bCs w:val="0"/>
          <w:i w:val="0"/>
          <w:iCs w:val="0"/>
          <w:szCs w:val="28"/>
          <w:highlight w:val="none"/>
        </w:rPr>
        <w:t>：开标记录表</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_Toc10071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32</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_Toc15230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 xml:space="preserve">第三章 </w:t>
      </w:r>
      <w:r>
        <w:rPr>
          <w:rFonts w:hint="eastAsia" w:ascii="黑体" w:hAnsi="黑体" w:eastAsia="黑体" w:cs="黑体"/>
          <w:bCs w:val="0"/>
          <w:i w:val="0"/>
          <w:iCs w:val="0"/>
          <w:highlight w:val="none"/>
          <w:lang w:val="en-US" w:eastAsia="zh-CN"/>
        </w:rPr>
        <w:t xml:space="preserve"> </w:t>
      </w:r>
      <w:r>
        <w:rPr>
          <w:rFonts w:hint="eastAsia" w:ascii="黑体" w:hAnsi="黑体" w:eastAsia="黑体" w:cs="黑体"/>
          <w:bCs w:val="0"/>
          <w:i w:val="0"/>
          <w:iCs w:val="0"/>
          <w:highlight w:val="none"/>
        </w:rPr>
        <w:t>评标办法（综合评估法）</w:t>
      </w:r>
      <w:r>
        <w:rPr>
          <w:i w:val="0"/>
          <w:iCs w:val="0"/>
        </w:rPr>
        <w:tab/>
      </w:r>
      <w:r>
        <w:rPr>
          <w:i w:val="0"/>
          <w:iCs w:val="0"/>
        </w:rPr>
        <w:fldChar w:fldCharType="begin"/>
      </w:r>
      <w:r>
        <w:rPr>
          <w:i w:val="0"/>
          <w:iCs w:val="0"/>
        </w:rPr>
        <w:instrText xml:space="preserve"> PAGEREF _Toc15230 </w:instrText>
      </w:r>
      <w:r>
        <w:rPr>
          <w:i w:val="0"/>
          <w:iCs w:val="0"/>
        </w:rPr>
        <w:fldChar w:fldCharType="separate"/>
      </w:r>
      <w:r>
        <w:rPr>
          <w:i w:val="0"/>
          <w:iCs w:val="0"/>
        </w:rPr>
        <w:t>35</w:t>
      </w:r>
      <w:r>
        <w:rPr>
          <w:i w:val="0"/>
          <w:iCs w:val="0"/>
        </w:rPr>
        <w:fldChar w:fldCharType="end"/>
      </w:r>
      <w:r>
        <w:rPr>
          <w:rFonts w:ascii="宋体" w:hAnsi="宋体"/>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_Toc19854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评标办法前附表</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_Toc19854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_Toc32707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1. 评标方法</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_Toc32707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_Toc29737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2. 评审标准</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_Toc29737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_Toc26965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3. 评标程序</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_Toc26965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39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bCs w:val="0"/>
          <w:i w:val="0"/>
          <w:iCs w:val="0"/>
          <w:szCs w:val="28"/>
          <w:highlight w:val="none"/>
        </w:rPr>
      </w:pPr>
      <w:r>
        <w:rPr>
          <w:rFonts w:hint="eastAsia" w:asciiTheme="minorEastAsia" w:hAnsiTheme="minorEastAsia" w:eastAsiaTheme="minorEastAsia" w:cstheme="minorEastAsia"/>
          <w:bCs w:val="0"/>
          <w:i w:val="0"/>
          <w:iCs w:val="0"/>
          <w:szCs w:val="28"/>
          <w:highlight w:val="none"/>
        </w:rPr>
        <w:fldChar w:fldCharType="begin"/>
      </w:r>
      <w:r>
        <w:rPr>
          <w:rFonts w:hint="eastAsia" w:asciiTheme="minorEastAsia" w:hAnsiTheme="minorEastAsia" w:eastAsiaTheme="minorEastAsia" w:cstheme="minorEastAsia"/>
          <w:bCs w:val="0"/>
          <w:i w:val="0"/>
          <w:iCs w:val="0"/>
          <w:szCs w:val="28"/>
          <w:highlight w:val="none"/>
        </w:rPr>
        <w:instrText xml:space="preserve"> HYPERLINK \l _Toc30823 </w:instrText>
      </w:r>
      <w:r>
        <w:rPr>
          <w:rFonts w:hint="eastAsia" w:asciiTheme="minorEastAsia" w:hAnsiTheme="minorEastAsia" w:eastAsiaTheme="minorEastAsia" w:cstheme="minorEastAsia"/>
          <w:bCs w:val="0"/>
          <w:i w:val="0"/>
          <w:iCs w:val="0"/>
          <w:szCs w:val="28"/>
          <w:highlight w:val="none"/>
        </w:rPr>
        <w:fldChar w:fldCharType="separate"/>
      </w:r>
      <w:r>
        <w:rPr>
          <w:rFonts w:hint="eastAsia" w:asciiTheme="minorEastAsia" w:hAnsiTheme="minorEastAsia" w:eastAsiaTheme="minorEastAsia" w:cstheme="minorEastAsia"/>
          <w:bCs w:val="0"/>
          <w:i w:val="0"/>
          <w:iCs w:val="0"/>
          <w:szCs w:val="28"/>
          <w:highlight w:val="none"/>
        </w:rPr>
        <w:t>附件一：暗标评审有关说明</w:t>
      </w:r>
      <w:r>
        <w:rPr>
          <w:rFonts w:hint="eastAsia" w:asciiTheme="minorEastAsia" w:hAnsiTheme="minorEastAsia" w:eastAsiaTheme="minorEastAsia" w:cstheme="minorEastAsia"/>
          <w:bCs w:val="0"/>
          <w:i w:val="0"/>
          <w:iCs w:val="0"/>
          <w:szCs w:val="28"/>
          <w:highlight w:val="none"/>
        </w:rPr>
        <w:tab/>
      </w:r>
      <w:r>
        <w:rPr>
          <w:rFonts w:hint="eastAsia" w:asciiTheme="minorEastAsia" w:hAnsiTheme="minorEastAsia" w:eastAsiaTheme="minorEastAsia" w:cstheme="minorEastAsia"/>
          <w:bCs w:val="0"/>
          <w:i w:val="0"/>
          <w:iCs w:val="0"/>
          <w:szCs w:val="28"/>
          <w:highlight w:val="none"/>
        </w:rPr>
        <w:fldChar w:fldCharType="begin"/>
      </w:r>
      <w:r>
        <w:rPr>
          <w:rFonts w:hint="eastAsia" w:asciiTheme="minorEastAsia" w:hAnsiTheme="minorEastAsia" w:eastAsiaTheme="minorEastAsia" w:cstheme="minorEastAsia"/>
          <w:bCs w:val="0"/>
          <w:i w:val="0"/>
          <w:iCs w:val="0"/>
          <w:szCs w:val="28"/>
          <w:highlight w:val="none"/>
        </w:rPr>
        <w:instrText xml:space="preserve"> PAGEREF _Toc30823 </w:instrText>
      </w:r>
      <w:r>
        <w:rPr>
          <w:rFonts w:hint="eastAsia" w:asciiTheme="minorEastAsia" w:hAnsiTheme="minorEastAsia" w:eastAsiaTheme="minorEastAsia" w:cstheme="minorEastAsia"/>
          <w:bCs w:val="0"/>
          <w:i w:val="0"/>
          <w:iCs w:val="0"/>
          <w:szCs w:val="28"/>
          <w:highlight w:val="none"/>
        </w:rPr>
        <w:fldChar w:fldCharType="separate"/>
      </w:r>
      <w:r>
        <w:rPr>
          <w:rFonts w:hint="eastAsia" w:asciiTheme="minorEastAsia" w:hAnsiTheme="minorEastAsia" w:eastAsiaTheme="minorEastAsia" w:cstheme="minorEastAsia"/>
          <w:bCs w:val="0"/>
          <w:i w:val="0"/>
          <w:iCs w:val="0"/>
          <w:szCs w:val="28"/>
          <w:highlight w:val="none"/>
        </w:rPr>
        <w:t>42</w:t>
      </w:r>
      <w:r>
        <w:rPr>
          <w:rFonts w:hint="eastAsia" w:asciiTheme="minorEastAsia" w:hAnsiTheme="minorEastAsia" w:eastAsiaTheme="minorEastAsia" w:cstheme="minorEastAsia"/>
          <w:bCs w:val="0"/>
          <w:i w:val="0"/>
          <w:iCs w:val="0"/>
          <w:szCs w:val="28"/>
          <w:highlight w:val="none"/>
        </w:rPr>
        <w:fldChar w:fldCharType="end"/>
      </w:r>
      <w:r>
        <w:rPr>
          <w:rFonts w:hint="eastAsia" w:asciiTheme="minorEastAsia" w:hAnsiTheme="minorEastAsia" w:eastAsiaTheme="minorEastAsia" w:cstheme="minorEastAsia"/>
          <w:bCs w:val="0"/>
          <w:i w:val="0"/>
          <w:iCs w:val="0"/>
          <w:szCs w:val="28"/>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bCs w:val="0"/>
          <w:i w:val="0"/>
          <w:iCs w:val="0"/>
          <w:szCs w:val="28"/>
          <w:highlight w:val="none"/>
        </w:rPr>
        <w:fldChar w:fldCharType="begin"/>
      </w:r>
      <w:r>
        <w:rPr>
          <w:rFonts w:hint="eastAsia" w:asciiTheme="minorEastAsia" w:hAnsiTheme="minorEastAsia" w:eastAsiaTheme="minorEastAsia" w:cstheme="minorEastAsia"/>
          <w:bCs w:val="0"/>
          <w:i w:val="0"/>
          <w:iCs w:val="0"/>
          <w:szCs w:val="28"/>
          <w:highlight w:val="none"/>
        </w:rPr>
        <w:instrText xml:space="preserve"> HYPERLINK \l _Toc3677 </w:instrText>
      </w:r>
      <w:r>
        <w:rPr>
          <w:rFonts w:hint="eastAsia" w:asciiTheme="minorEastAsia" w:hAnsiTheme="minorEastAsia" w:eastAsiaTheme="minorEastAsia" w:cstheme="minorEastAsia"/>
          <w:bCs w:val="0"/>
          <w:i w:val="0"/>
          <w:iCs w:val="0"/>
          <w:szCs w:val="28"/>
          <w:highlight w:val="none"/>
        </w:rPr>
        <w:fldChar w:fldCharType="separate"/>
      </w:r>
      <w:r>
        <w:rPr>
          <w:rFonts w:hint="eastAsia" w:asciiTheme="minorEastAsia" w:hAnsiTheme="minorEastAsia" w:eastAsiaTheme="minorEastAsia" w:cstheme="minorEastAsia"/>
          <w:bCs w:val="0"/>
          <w:i w:val="0"/>
          <w:iCs w:val="0"/>
          <w:szCs w:val="28"/>
          <w:highlight w:val="none"/>
        </w:rPr>
        <w:t>附件二： 询标函</w:t>
      </w:r>
      <w:r>
        <w:rPr>
          <w:rFonts w:hint="eastAsia" w:asciiTheme="minorEastAsia" w:hAnsiTheme="minorEastAsia" w:eastAsiaTheme="minorEastAsia" w:cstheme="minorEastAsia"/>
          <w:bCs w:val="0"/>
          <w:i w:val="0"/>
          <w:iCs w:val="0"/>
          <w:szCs w:val="28"/>
          <w:highlight w:val="none"/>
        </w:rPr>
        <w:tab/>
      </w:r>
      <w:r>
        <w:rPr>
          <w:rFonts w:hint="eastAsia" w:asciiTheme="minorEastAsia" w:hAnsiTheme="minorEastAsia" w:eastAsiaTheme="minorEastAsia" w:cstheme="minorEastAsia"/>
          <w:bCs w:val="0"/>
          <w:i w:val="0"/>
          <w:iCs w:val="0"/>
          <w:szCs w:val="28"/>
          <w:highlight w:val="none"/>
        </w:rPr>
        <w:fldChar w:fldCharType="begin"/>
      </w:r>
      <w:r>
        <w:rPr>
          <w:rFonts w:hint="eastAsia" w:asciiTheme="minorEastAsia" w:hAnsiTheme="minorEastAsia" w:eastAsiaTheme="minorEastAsia" w:cstheme="minorEastAsia"/>
          <w:bCs w:val="0"/>
          <w:i w:val="0"/>
          <w:iCs w:val="0"/>
          <w:szCs w:val="28"/>
          <w:highlight w:val="none"/>
        </w:rPr>
        <w:instrText xml:space="preserve"> PAGEREF _Toc3677 </w:instrText>
      </w:r>
      <w:r>
        <w:rPr>
          <w:rFonts w:hint="eastAsia" w:asciiTheme="minorEastAsia" w:hAnsiTheme="minorEastAsia" w:eastAsiaTheme="minorEastAsia" w:cstheme="minorEastAsia"/>
          <w:bCs w:val="0"/>
          <w:i w:val="0"/>
          <w:iCs w:val="0"/>
          <w:szCs w:val="28"/>
          <w:highlight w:val="none"/>
        </w:rPr>
        <w:fldChar w:fldCharType="separate"/>
      </w:r>
      <w:r>
        <w:rPr>
          <w:rFonts w:hint="eastAsia" w:asciiTheme="minorEastAsia" w:hAnsiTheme="minorEastAsia" w:eastAsiaTheme="minorEastAsia" w:cstheme="minorEastAsia"/>
          <w:bCs w:val="0"/>
          <w:i w:val="0"/>
          <w:iCs w:val="0"/>
          <w:szCs w:val="28"/>
          <w:highlight w:val="none"/>
        </w:rPr>
        <w:t>43</w:t>
      </w:r>
      <w:r>
        <w:rPr>
          <w:rFonts w:hint="eastAsia" w:asciiTheme="minorEastAsia" w:hAnsiTheme="minorEastAsia" w:eastAsiaTheme="minorEastAsia" w:cstheme="minorEastAsia"/>
          <w:bCs w:val="0"/>
          <w:i w:val="0"/>
          <w:iCs w:val="0"/>
          <w:szCs w:val="28"/>
          <w:highlight w:val="none"/>
        </w:rPr>
        <w:fldChar w:fldCharType="end"/>
      </w:r>
      <w:r>
        <w:rPr>
          <w:rFonts w:hint="eastAsia" w:asciiTheme="minorEastAsia" w:hAnsiTheme="minorEastAsia" w:eastAsiaTheme="minorEastAsia" w:cstheme="minorEastAsia"/>
          <w:bCs w:val="0"/>
          <w:i w:val="0"/>
          <w:iCs w:val="0"/>
          <w:szCs w:val="28"/>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_Toc5675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szCs w:val="28"/>
          <w:highlight w:val="none"/>
        </w:rPr>
        <w:t>附件三： 询标回复函</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_Toc5675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_Toc10276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第四章 合同条款及格式</w:t>
      </w:r>
      <w:r>
        <w:rPr>
          <w:i w:val="0"/>
          <w:iCs w:val="0"/>
        </w:rPr>
        <w:tab/>
      </w:r>
      <w:r>
        <w:rPr>
          <w:i w:val="0"/>
          <w:iCs w:val="0"/>
        </w:rPr>
        <w:fldChar w:fldCharType="begin"/>
      </w:r>
      <w:r>
        <w:rPr>
          <w:i w:val="0"/>
          <w:iCs w:val="0"/>
        </w:rPr>
        <w:instrText xml:space="preserve"> PAGEREF _Toc10276 </w:instrText>
      </w:r>
      <w:r>
        <w:rPr>
          <w:i w:val="0"/>
          <w:iCs w:val="0"/>
        </w:rPr>
        <w:fldChar w:fldCharType="separate"/>
      </w:r>
      <w:r>
        <w:rPr>
          <w:i w:val="0"/>
          <w:iCs w:val="0"/>
        </w:rPr>
        <w:t>45</w:t>
      </w:r>
      <w:r>
        <w:rPr>
          <w:i w:val="0"/>
          <w:iCs w:val="0"/>
        </w:rPr>
        <w:fldChar w:fldCharType="end"/>
      </w:r>
      <w:r>
        <w:rPr>
          <w:rFonts w:ascii="宋体" w:hAnsi="宋体"/>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_Toc8896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1一般约定</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_Toc8896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_Toc23370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2合同范围</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_Toc23370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_Toc19134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3发包人的权利和义务</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_Toc19134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_Toc15000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4承包人的权利和义务</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_Toc15000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48</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_Toc21531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5 工程监理</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_Toc21531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_Toc8527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6合同价格</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_Toc8527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_Toc11687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7价款支付</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_Toc11687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_Toc10548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8质量保证金</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_Toc10548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_Toc8068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9函件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_Toc8068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54</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_Toc22609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10图纸</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_Toc22609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_Toc953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11承包人的组织机构及管理</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_Toc953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_Toc17938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12合同工期</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_Toc17938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_Toc23446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13不可抗力</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_Toc23446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_Toc9599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14 检查验收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_Toc9599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_Toc2072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15 工程保险</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_Toc2072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56</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_Toc16449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16保修</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_Toc16449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_Toc21782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17</w:t>
      </w:r>
      <w:r>
        <w:rPr>
          <w:rFonts w:hint="eastAsia" w:asciiTheme="minorEastAsia" w:hAnsiTheme="minorEastAsia" w:eastAsiaTheme="minorEastAsia" w:cstheme="minorEastAsia"/>
          <w:bCs/>
          <w:i w:val="0"/>
          <w:iCs w:val="0"/>
          <w:szCs w:val="32"/>
          <w:highlight w:val="none"/>
          <w:lang w:val="en-US" w:eastAsia="zh-CN"/>
        </w:rPr>
        <w:t xml:space="preserve"> </w:t>
      </w:r>
      <w:r>
        <w:rPr>
          <w:rFonts w:hint="eastAsia" w:asciiTheme="minorEastAsia" w:hAnsiTheme="minorEastAsia" w:eastAsiaTheme="minorEastAsia" w:cstheme="minorEastAsia"/>
          <w:bCs/>
          <w:i w:val="0"/>
          <w:iCs w:val="0"/>
          <w:szCs w:val="32"/>
          <w:highlight w:val="none"/>
        </w:rPr>
        <w:t>违约责任</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_Toc21782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_Toc1818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18 争议</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_Toc1818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_Toc26167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19 其他</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_Toc26167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_Toc21842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i w:val="0"/>
          <w:iCs w:val="0"/>
          <w:szCs w:val="32"/>
          <w:highlight w:val="none"/>
        </w:rPr>
        <w:t>20合同附件：</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_Toc21842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58</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_Toc24286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第二卷</w:t>
      </w:r>
      <w:r>
        <w:rPr>
          <w:i w:val="0"/>
          <w:iCs w:val="0"/>
        </w:rPr>
        <w:tab/>
      </w:r>
      <w:r>
        <w:rPr>
          <w:i w:val="0"/>
          <w:iCs w:val="0"/>
        </w:rPr>
        <w:fldChar w:fldCharType="begin"/>
      </w:r>
      <w:r>
        <w:rPr>
          <w:i w:val="0"/>
          <w:iCs w:val="0"/>
        </w:rPr>
        <w:instrText xml:space="preserve"> PAGEREF _Toc24286 </w:instrText>
      </w:r>
      <w:r>
        <w:rPr>
          <w:i w:val="0"/>
          <w:iCs w:val="0"/>
        </w:rPr>
        <w:fldChar w:fldCharType="separate"/>
      </w:r>
      <w:r>
        <w:rPr>
          <w:i w:val="0"/>
          <w:iCs w:val="0"/>
        </w:rPr>
        <w:t>65</w:t>
      </w:r>
      <w:r>
        <w:rPr>
          <w:i w:val="0"/>
          <w:iCs w:val="0"/>
        </w:rPr>
        <w:fldChar w:fldCharType="end"/>
      </w:r>
      <w:r>
        <w:rPr>
          <w:rFonts w:ascii="宋体" w:hAnsi="宋体"/>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_Toc2324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第五章  发包人要求</w:t>
      </w:r>
      <w:r>
        <w:rPr>
          <w:i w:val="0"/>
          <w:iCs w:val="0"/>
        </w:rPr>
        <w:tab/>
      </w:r>
      <w:r>
        <w:rPr>
          <w:i w:val="0"/>
          <w:iCs w:val="0"/>
        </w:rPr>
        <w:fldChar w:fldCharType="begin"/>
      </w:r>
      <w:r>
        <w:rPr>
          <w:i w:val="0"/>
          <w:iCs w:val="0"/>
        </w:rPr>
        <w:instrText xml:space="preserve"> PAGEREF _Toc2324 </w:instrText>
      </w:r>
      <w:r>
        <w:rPr>
          <w:i w:val="0"/>
          <w:iCs w:val="0"/>
        </w:rPr>
        <w:fldChar w:fldCharType="separate"/>
      </w:r>
      <w:r>
        <w:rPr>
          <w:i w:val="0"/>
          <w:iCs w:val="0"/>
        </w:rPr>
        <w:t>65</w:t>
      </w:r>
      <w:r>
        <w:rPr>
          <w:i w:val="0"/>
          <w:iCs w:val="0"/>
        </w:rPr>
        <w:fldChar w:fldCharType="end"/>
      </w:r>
      <w:r>
        <w:rPr>
          <w:rFonts w:ascii="宋体" w:hAnsi="宋体"/>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_Toc5009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第六章  发包人提供的资料</w:t>
      </w:r>
      <w:r>
        <w:rPr>
          <w:i w:val="0"/>
          <w:iCs w:val="0"/>
        </w:rPr>
        <w:tab/>
      </w:r>
      <w:r>
        <w:rPr>
          <w:i w:val="0"/>
          <w:iCs w:val="0"/>
        </w:rPr>
        <w:fldChar w:fldCharType="begin"/>
      </w:r>
      <w:r>
        <w:rPr>
          <w:i w:val="0"/>
          <w:iCs w:val="0"/>
        </w:rPr>
        <w:instrText xml:space="preserve"> PAGEREF _Toc5009 </w:instrText>
      </w:r>
      <w:r>
        <w:rPr>
          <w:i w:val="0"/>
          <w:iCs w:val="0"/>
        </w:rPr>
        <w:fldChar w:fldCharType="separate"/>
      </w:r>
      <w:r>
        <w:rPr>
          <w:i w:val="0"/>
          <w:iCs w:val="0"/>
        </w:rPr>
        <w:t>70</w:t>
      </w:r>
      <w:r>
        <w:rPr>
          <w:i w:val="0"/>
          <w:iCs w:val="0"/>
        </w:rPr>
        <w:fldChar w:fldCharType="end"/>
      </w:r>
      <w:r>
        <w:rPr>
          <w:rFonts w:ascii="宋体" w:hAnsi="宋体"/>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_Toc32690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第三卷</w:t>
      </w:r>
      <w:r>
        <w:rPr>
          <w:i w:val="0"/>
          <w:iCs w:val="0"/>
        </w:rPr>
        <w:tab/>
      </w:r>
      <w:r>
        <w:rPr>
          <w:i w:val="0"/>
          <w:iCs w:val="0"/>
        </w:rPr>
        <w:fldChar w:fldCharType="begin"/>
      </w:r>
      <w:r>
        <w:rPr>
          <w:i w:val="0"/>
          <w:iCs w:val="0"/>
        </w:rPr>
        <w:instrText xml:space="preserve"> PAGEREF _Toc32690 </w:instrText>
      </w:r>
      <w:r>
        <w:rPr>
          <w:i w:val="0"/>
          <w:iCs w:val="0"/>
        </w:rPr>
        <w:fldChar w:fldCharType="separate"/>
      </w:r>
      <w:r>
        <w:rPr>
          <w:i w:val="0"/>
          <w:iCs w:val="0"/>
        </w:rPr>
        <w:t>71</w:t>
      </w:r>
      <w:r>
        <w:rPr>
          <w:i w:val="0"/>
          <w:iCs w:val="0"/>
        </w:rPr>
        <w:fldChar w:fldCharType="end"/>
      </w:r>
      <w:r>
        <w:rPr>
          <w:rFonts w:ascii="宋体" w:hAnsi="宋体"/>
          <w:i w:val="0"/>
          <w:iCs w:val="0"/>
          <w:szCs w:val="20"/>
          <w:highlight w:val="none"/>
        </w:rPr>
        <w:fldChar w:fldCharType="end"/>
      </w:r>
    </w:p>
    <w:p>
      <w:pPr>
        <w:pStyle w:val="27"/>
        <w:tabs>
          <w:tab w:val="right" w:leader="dot" w:pos="9070"/>
        </w:tabs>
        <w:rPr>
          <w:i w:val="0"/>
          <w:iCs w:val="0"/>
        </w:rPr>
      </w:pPr>
      <w:r>
        <w:rPr>
          <w:rFonts w:ascii="宋体" w:hAnsi="宋体"/>
          <w:i w:val="0"/>
          <w:iCs w:val="0"/>
          <w:szCs w:val="20"/>
          <w:highlight w:val="none"/>
        </w:rPr>
        <w:fldChar w:fldCharType="begin"/>
      </w:r>
      <w:r>
        <w:rPr>
          <w:rFonts w:ascii="宋体" w:hAnsi="宋体"/>
          <w:i w:val="0"/>
          <w:iCs w:val="0"/>
          <w:szCs w:val="20"/>
          <w:highlight w:val="none"/>
        </w:rPr>
        <w:instrText xml:space="preserve"> HYPERLINK \l _Toc25522 </w:instrText>
      </w:r>
      <w:r>
        <w:rPr>
          <w:rFonts w:ascii="宋体" w:hAnsi="宋体"/>
          <w:i w:val="0"/>
          <w:iCs w:val="0"/>
          <w:szCs w:val="20"/>
          <w:highlight w:val="none"/>
        </w:rPr>
        <w:fldChar w:fldCharType="separate"/>
      </w:r>
      <w:r>
        <w:rPr>
          <w:rFonts w:hint="eastAsia" w:ascii="黑体" w:hAnsi="黑体" w:eastAsia="黑体" w:cs="黑体"/>
          <w:bCs w:val="0"/>
          <w:i w:val="0"/>
          <w:iCs w:val="0"/>
          <w:highlight w:val="none"/>
        </w:rPr>
        <w:t>第七章  投标文件格式</w:t>
      </w:r>
      <w:r>
        <w:rPr>
          <w:i w:val="0"/>
          <w:iCs w:val="0"/>
        </w:rPr>
        <w:tab/>
      </w:r>
      <w:r>
        <w:rPr>
          <w:i w:val="0"/>
          <w:iCs w:val="0"/>
        </w:rPr>
        <w:fldChar w:fldCharType="begin"/>
      </w:r>
      <w:r>
        <w:rPr>
          <w:i w:val="0"/>
          <w:iCs w:val="0"/>
        </w:rPr>
        <w:instrText xml:space="preserve"> PAGEREF _Toc25522 </w:instrText>
      </w:r>
      <w:r>
        <w:rPr>
          <w:i w:val="0"/>
          <w:iCs w:val="0"/>
        </w:rPr>
        <w:fldChar w:fldCharType="separate"/>
      </w:r>
      <w:r>
        <w:rPr>
          <w:i w:val="0"/>
          <w:iCs w:val="0"/>
        </w:rPr>
        <w:t>72</w:t>
      </w:r>
      <w:r>
        <w:rPr>
          <w:i w:val="0"/>
          <w:iCs w:val="0"/>
        </w:rPr>
        <w:fldChar w:fldCharType="end"/>
      </w:r>
      <w:r>
        <w:rPr>
          <w:rFonts w:ascii="宋体" w:hAnsi="宋体"/>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_Toc7413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i w:val="0"/>
          <w:iCs w:val="0"/>
          <w:szCs w:val="36"/>
          <w:highlight w:val="none"/>
        </w:rPr>
        <w:t>投标文件（商务标）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_Toc7413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73</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_Toc26137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一、投标函及投标函附录</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_Toc26137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75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_Toc32216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二、法定代表人身份证明</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_Toc32216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77</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_Toc10052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二. 授权委托书</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_Toc10052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78</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_Toc14966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三、联合体协议书</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_Toc14966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79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_Toc28214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四、投标保证金</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_Toc28214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80</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_Toc30689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五、价格清单</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_Toc30689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81</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_Toc25929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六、资格审查资料</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_Toc25929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89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_Toc21059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七、承诺书</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_Toc21059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95</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_Toc11892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bCs w:val="0"/>
          <w:i w:val="0"/>
          <w:iCs w:val="0"/>
          <w:highlight w:val="none"/>
        </w:rPr>
        <w:t>八、其他资料</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_Toc11892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98</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_Toc10360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i w:val="0"/>
          <w:iCs w:val="0"/>
          <w:szCs w:val="36"/>
          <w:highlight w:val="none"/>
        </w:rPr>
        <w:t>投标文件（技术标）</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_Toc10360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99</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pStyle w:val="32"/>
        <w:tabs>
          <w:tab w:val="right" w:leader="dot" w:pos="9070"/>
        </w:tabs>
        <w:rPr>
          <w:rFonts w:hint="eastAsia" w:asciiTheme="minorEastAsia" w:hAnsiTheme="minorEastAsia" w:eastAsiaTheme="minorEastAsia" w:cstheme="minorEastAsia"/>
          <w:i w:val="0"/>
          <w:iCs w:val="0"/>
        </w:rPr>
      </w:pPr>
      <w:r>
        <w:rPr>
          <w:rFonts w:hint="eastAsia" w:asciiTheme="minorEastAsia" w:hAnsiTheme="minorEastAsia" w:eastAsiaTheme="minorEastAsia" w:cstheme="minorEastAsia"/>
          <w:i w:val="0"/>
          <w:iCs w:val="0"/>
          <w:szCs w:val="20"/>
          <w:highlight w:val="none"/>
        </w:rPr>
        <w:fldChar w:fldCharType="begin"/>
      </w:r>
      <w:r>
        <w:rPr>
          <w:rFonts w:hint="eastAsia" w:asciiTheme="minorEastAsia" w:hAnsiTheme="minorEastAsia" w:eastAsiaTheme="minorEastAsia" w:cstheme="minorEastAsia"/>
          <w:i w:val="0"/>
          <w:iCs w:val="0"/>
          <w:szCs w:val="20"/>
          <w:highlight w:val="none"/>
        </w:rPr>
        <w:instrText xml:space="preserve"> HYPERLINK \l _Toc26322 </w:instrText>
      </w:r>
      <w:r>
        <w:rPr>
          <w:rFonts w:hint="eastAsia" w:asciiTheme="minorEastAsia" w:hAnsiTheme="minorEastAsia" w:eastAsiaTheme="minorEastAsia" w:cstheme="minorEastAsia"/>
          <w:i w:val="0"/>
          <w:iCs w:val="0"/>
          <w:szCs w:val="20"/>
          <w:highlight w:val="none"/>
        </w:rPr>
        <w:fldChar w:fldCharType="separate"/>
      </w:r>
      <w:r>
        <w:rPr>
          <w:rFonts w:hint="eastAsia" w:asciiTheme="minorEastAsia" w:hAnsiTheme="minorEastAsia" w:eastAsiaTheme="minorEastAsia" w:cstheme="minorEastAsia"/>
          <w:i w:val="0"/>
          <w:iCs w:val="0"/>
          <w:szCs w:val="28"/>
          <w:highlight w:val="none"/>
        </w:rPr>
        <w:t>一、承包人项目管理实施计划</w:t>
      </w:r>
      <w:r>
        <w:rPr>
          <w:rFonts w:hint="eastAsia" w:asciiTheme="minorEastAsia" w:hAnsiTheme="minorEastAsia" w:eastAsiaTheme="minorEastAsia" w:cstheme="minorEastAsia"/>
          <w:i w:val="0"/>
          <w:iCs w:val="0"/>
        </w:rPr>
        <w:tab/>
      </w:r>
      <w:r>
        <w:rPr>
          <w:rFonts w:hint="eastAsia" w:asciiTheme="minorEastAsia" w:hAnsiTheme="minorEastAsia" w:eastAsiaTheme="minorEastAsia" w:cstheme="minorEastAsia"/>
          <w:i w:val="0"/>
          <w:iCs w:val="0"/>
        </w:rPr>
        <w:fldChar w:fldCharType="begin"/>
      </w:r>
      <w:r>
        <w:rPr>
          <w:rFonts w:hint="eastAsia" w:asciiTheme="minorEastAsia" w:hAnsiTheme="minorEastAsia" w:eastAsiaTheme="minorEastAsia" w:cstheme="minorEastAsia"/>
          <w:i w:val="0"/>
          <w:iCs w:val="0"/>
        </w:rPr>
        <w:instrText xml:space="preserve"> PAGEREF _Toc26322 </w:instrText>
      </w:r>
      <w:r>
        <w:rPr>
          <w:rFonts w:hint="eastAsia" w:asciiTheme="minorEastAsia" w:hAnsiTheme="minorEastAsia" w:eastAsiaTheme="minorEastAsia" w:cstheme="minorEastAsia"/>
          <w:i w:val="0"/>
          <w:iCs w:val="0"/>
        </w:rPr>
        <w:fldChar w:fldCharType="separate"/>
      </w:r>
      <w:r>
        <w:rPr>
          <w:rFonts w:hint="eastAsia" w:asciiTheme="minorEastAsia" w:hAnsiTheme="minorEastAsia" w:eastAsiaTheme="minorEastAsia" w:cstheme="minorEastAsia"/>
          <w:i w:val="0"/>
          <w:iCs w:val="0"/>
        </w:rPr>
        <w:t>100</w:t>
      </w:r>
      <w:r>
        <w:rPr>
          <w:rFonts w:hint="eastAsia" w:asciiTheme="minorEastAsia" w:hAnsiTheme="minorEastAsia" w:eastAsiaTheme="minorEastAsia" w:cstheme="minorEastAsia"/>
          <w:i w:val="0"/>
          <w:iCs w:val="0"/>
        </w:rPr>
        <w:fldChar w:fldCharType="end"/>
      </w:r>
      <w:r>
        <w:rPr>
          <w:rFonts w:hint="eastAsia" w:asciiTheme="minorEastAsia" w:hAnsiTheme="minorEastAsia" w:eastAsiaTheme="minorEastAsia" w:cstheme="minorEastAsia"/>
          <w:i w:val="0"/>
          <w:iCs w:val="0"/>
          <w:szCs w:val="20"/>
          <w:highlight w:val="none"/>
        </w:rPr>
        <w:fldChar w:fldCharType="end"/>
      </w:r>
    </w:p>
    <w:p>
      <w:pPr>
        <w:widowControl/>
        <w:adjustRightInd w:val="0"/>
        <w:snapToGrid w:val="0"/>
        <w:spacing w:line="360" w:lineRule="auto"/>
        <w:jc w:val="center"/>
        <w:rPr>
          <w:rFonts w:ascii="宋体" w:hAnsi="宋体"/>
          <w:i w:val="0"/>
          <w:iCs w:val="0"/>
          <w:sz w:val="20"/>
          <w:szCs w:val="20"/>
          <w:highlight w:val="none"/>
        </w:rPr>
        <w:sectPr>
          <w:headerReference r:id="rId5" w:type="default"/>
          <w:footerReference r:id="rId6" w:type="default"/>
          <w:pgSz w:w="11906" w:h="16838"/>
          <w:pgMar w:top="1418" w:right="1418" w:bottom="1418" w:left="1418" w:header="851" w:footer="850" w:gutter="0"/>
          <w:pgBorders>
            <w:top w:val="none" w:sz="0" w:space="0"/>
            <w:left w:val="none" w:sz="0" w:space="0"/>
            <w:bottom w:val="none" w:sz="0" w:space="0"/>
            <w:right w:val="none" w:sz="0" w:space="0"/>
          </w:pgBorders>
          <w:pgNumType w:start="1"/>
          <w:cols w:space="720" w:num="1"/>
          <w:docGrid w:linePitch="312" w:charSpace="0"/>
        </w:sectPr>
      </w:pPr>
      <w:r>
        <w:rPr>
          <w:rFonts w:ascii="宋体" w:hAnsi="宋体"/>
          <w:i w:val="0"/>
          <w:iCs w:val="0"/>
          <w:szCs w:val="20"/>
          <w:highlight w:val="none"/>
        </w:rPr>
        <w:fldChar w:fldCharType="end"/>
      </w:r>
    </w:p>
    <w:p>
      <w:pPr>
        <w:rPr>
          <w:rFonts w:hint="eastAsia" w:ascii="黑体" w:hAnsi="黑体" w:eastAsia="黑体"/>
          <w:b w:val="0"/>
          <w:bCs w:val="0"/>
          <w:i w:val="0"/>
          <w:iCs w:val="0"/>
          <w:highlight w:val="none"/>
        </w:rPr>
      </w:pPr>
    </w:p>
    <w:p>
      <w:pPr>
        <w:rPr>
          <w:rFonts w:hint="eastAsia" w:ascii="黑体" w:hAnsi="黑体" w:eastAsia="黑体"/>
          <w:b w:val="0"/>
          <w:bCs w:val="0"/>
          <w:i w:val="0"/>
          <w:iCs w:val="0"/>
          <w:highlight w:val="none"/>
        </w:rPr>
      </w:pPr>
    </w:p>
    <w:p>
      <w:pPr>
        <w:rPr>
          <w:rFonts w:hint="eastAsia" w:ascii="黑体" w:hAnsi="黑体" w:eastAsia="黑体"/>
          <w:b w:val="0"/>
          <w:bCs w:val="0"/>
          <w:i w:val="0"/>
          <w:iCs w:val="0"/>
          <w:highlight w:val="none"/>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pStyle w:val="2"/>
        <w:jc w:val="center"/>
        <w:rPr>
          <w:rFonts w:hint="eastAsia" w:ascii="黑体" w:hAnsi="黑体" w:eastAsia="黑体" w:cs="黑体"/>
          <w:b w:val="0"/>
          <w:bCs w:val="0"/>
          <w:i w:val="0"/>
          <w:iCs w:val="0"/>
          <w:highlight w:val="none"/>
        </w:rPr>
      </w:pPr>
      <w:bookmarkStart w:id="16" w:name="_Toc29220"/>
      <w:r>
        <w:rPr>
          <w:rFonts w:hint="eastAsia" w:ascii="黑体" w:hAnsi="黑体" w:eastAsia="黑体" w:cs="黑体"/>
          <w:b w:val="0"/>
          <w:bCs w:val="0"/>
          <w:i w:val="0"/>
          <w:iCs w:val="0"/>
          <w:highlight w:val="none"/>
        </w:rPr>
        <w:t>第一卷</w:t>
      </w:r>
      <w:bookmarkEnd w:id="11"/>
      <w:bookmarkEnd w:id="12"/>
      <w:bookmarkEnd w:id="16"/>
      <w:bookmarkStart w:id="17" w:name="_Toc247513933"/>
      <w:bookmarkStart w:id="18" w:name="_Toc247527534"/>
    </w:p>
    <w:p>
      <w:pPr>
        <w:pStyle w:val="2"/>
        <w:pageBreakBefore w:val="0"/>
        <w:widowControl w:val="0"/>
        <w:kinsoku/>
        <w:wordWrap/>
        <w:overflowPunct/>
        <w:topLinePunct w:val="0"/>
        <w:bidi w:val="0"/>
        <w:snapToGrid/>
        <w:spacing w:before="0" w:after="0"/>
        <w:jc w:val="center"/>
        <w:textAlignment w:val="auto"/>
        <w:rPr>
          <w:i w:val="0"/>
          <w:iCs w:val="0"/>
          <w:highlight w:val="none"/>
        </w:rPr>
      </w:pPr>
      <w:bookmarkStart w:id="19" w:name="_Toc12516"/>
      <w:r>
        <w:rPr>
          <w:rFonts w:hint="eastAsia" w:ascii="黑体" w:hAnsi="黑体" w:eastAsia="黑体"/>
          <w:b w:val="0"/>
          <w:bCs w:val="0"/>
          <w:i w:val="0"/>
          <w:iCs w:val="0"/>
          <w:highlight w:val="none"/>
          <w:lang w:eastAsia="zh-CN"/>
        </w:rPr>
        <w:drawing>
          <wp:anchor distT="0" distB="0" distL="114300" distR="114300" simplePos="0" relativeHeight="251658240" behindDoc="0" locked="0" layoutInCell="1" allowOverlap="1">
            <wp:simplePos x="0" y="0"/>
            <wp:positionH relativeFrom="column">
              <wp:posOffset>5715</wp:posOffset>
            </wp:positionH>
            <wp:positionV relativeFrom="paragraph">
              <wp:posOffset>4036060</wp:posOffset>
            </wp:positionV>
            <wp:extent cx="6121400" cy="483235"/>
            <wp:effectExtent l="0" t="0" r="12700" b="12065"/>
            <wp:wrapNone/>
            <wp:docPr id="1" name="图片 2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3" descr="图片1"/>
                    <pic:cNvPicPr>
                      <a:picLocks noChangeAspect="1"/>
                    </pic:cNvPicPr>
                  </pic:nvPicPr>
                  <pic:blipFill>
                    <a:blip r:embed="rId9"/>
                    <a:srcRect t="568" r="40617" b="45461"/>
                    <a:stretch>
                      <a:fillRect/>
                    </a:stretch>
                  </pic:blipFill>
                  <pic:spPr>
                    <a:xfrm>
                      <a:off x="0" y="0"/>
                      <a:ext cx="6121400" cy="483235"/>
                    </a:xfrm>
                    <a:prstGeom prst="rect">
                      <a:avLst/>
                    </a:prstGeom>
                    <a:noFill/>
                    <a:ln>
                      <a:noFill/>
                    </a:ln>
                  </pic:spPr>
                </pic:pic>
              </a:graphicData>
            </a:graphic>
          </wp:anchor>
        </w:drawing>
      </w:r>
      <w:r>
        <w:rPr>
          <w:i w:val="0"/>
          <w:iCs w:val="0"/>
          <w:highlight w:val="none"/>
        </w:rPr>
        <w:br w:type="page"/>
      </w:r>
      <w:r>
        <w:rPr>
          <w:rFonts w:hint="eastAsia" w:ascii="黑体" w:hAnsi="黑体" w:eastAsia="黑体" w:cs="黑体"/>
          <w:b w:val="0"/>
          <w:bCs w:val="0"/>
          <w:i w:val="0"/>
          <w:iCs w:val="0"/>
          <w:highlight w:val="none"/>
        </w:rPr>
        <w:t>第一章 招标公告（</w:t>
      </w:r>
      <w:r>
        <w:rPr>
          <w:rFonts w:hint="eastAsia" w:ascii="黑体" w:hAnsi="黑体" w:eastAsia="黑体"/>
          <w:b w:val="0"/>
          <w:bCs w:val="0"/>
          <w:i w:val="0"/>
          <w:iCs w:val="0"/>
          <w:highlight w:val="none"/>
          <w:lang w:val="en-US" w:eastAsia="zh-CN"/>
        </w:rPr>
        <w:t>适用于</w:t>
      </w:r>
      <w:r>
        <w:rPr>
          <w:rFonts w:hint="eastAsia" w:ascii="黑体" w:hAnsi="黑体" w:eastAsia="黑体" w:cs="黑体"/>
          <w:b w:val="0"/>
          <w:bCs w:val="0"/>
          <w:i w:val="0"/>
          <w:iCs w:val="0"/>
          <w:highlight w:val="none"/>
        </w:rPr>
        <w:t>未进行资格预审）</w:t>
      </w:r>
      <w:bookmarkEnd w:id="13"/>
      <w:bookmarkEnd w:id="14"/>
      <w:bookmarkEnd w:id="15"/>
      <w:bookmarkEnd w:id="17"/>
      <w:bookmarkEnd w:id="18"/>
      <w:bookmarkEnd w:id="19"/>
    </w:p>
    <w:p>
      <w:pPr>
        <w:pageBreakBefore w:val="0"/>
        <w:widowControl w:val="0"/>
        <w:kinsoku/>
        <w:wordWrap/>
        <w:overflowPunct/>
        <w:topLinePunct w:val="0"/>
        <w:bidi w:val="0"/>
        <w:snapToGrid/>
        <w:spacing w:line="440" w:lineRule="exact"/>
        <w:jc w:val="center"/>
        <w:textAlignment w:val="auto"/>
        <w:rPr>
          <w:rFonts w:hint="eastAsia" w:eastAsia="黑体"/>
          <w:i w:val="0"/>
          <w:iCs w:val="0"/>
          <w:sz w:val="28"/>
          <w:szCs w:val="28"/>
          <w:highlight w:val="none"/>
          <w:u w:val="single"/>
        </w:rPr>
      </w:pPr>
    </w:p>
    <w:p>
      <w:pPr>
        <w:pageBreakBefore w:val="0"/>
        <w:widowControl w:val="0"/>
        <w:kinsoku/>
        <w:wordWrap/>
        <w:overflowPunct/>
        <w:topLinePunct w:val="0"/>
        <w:bidi w:val="0"/>
        <w:snapToGrid/>
        <w:spacing w:line="440" w:lineRule="exact"/>
        <w:jc w:val="center"/>
        <w:textAlignment w:val="auto"/>
        <w:rPr>
          <w:rFonts w:eastAsia="黑体"/>
          <w:i w:val="0"/>
          <w:iCs w:val="0"/>
          <w:sz w:val="28"/>
          <w:szCs w:val="28"/>
          <w:highlight w:val="none"/>
        </w:rPr>
      </w:pPr>
      <w:r>
        <w:rPr>
          <w:rFonts w:hint="eastAsia" w:eastAsia="黑体"/>
          <w:i w:val="0"/>
          <w:iCs w:val="0"/>
          <w:sz w:val="28"/>
          <w:szCs w:val="28"/>
          <w:highlight w:val="none"/>
          <w:u w:val="single"/>
        </w:rPr>
        <w:t xml:space="preserve">            </w:t>
      </w:r>
      <w:r>
        <w:rPr>
          <w:rFonts w:eastAsia="黑体"/>
          <w:i w:val="0"/>
          <w:iCs w:val="0"/>
          <w:sz w:val="28"/>
          <w:szCs w:val="28"/>
          <w:highlight w:val="none"/>
        </w:rPr>
        <w:t>（项目名称）</w:t>
      </w:r>
      <w:r>
        <w:rPr>
          <w:rFonts w:hint="eastAsia" w:ascii="黑体" w:hAnsi="黑体" w:eastAsia="黑体"/>
          <w:b w:val="0"/>
          <w:bCs w:val="0"/>
          <w:i w:val="0"/>
          <w:iCs w:val="0"/>
          <w:sz w:val="32"/>
          <w:szCs w:val="32"/>
          <w:highlight w:val="none"/>
          <w:u w:val="single"/>
        </w:rPr>
        <w:t xml:space="preserve">      </w:t>
      </w:r>
      <w:r>
        <w:rPr>
          <w:rFonts w:hint="eastAsia" w:ascii="黑体" w:hAnsi="黑体" w:eastAsia="黑体"/>
          <w:b w:val="0"/>
          <w:bCs w:val="0"/>
          <w:i w:val="0"/>
          <w:iCs w:val="0"/>
          <w:sz w:val="32"/>
          <w:szCs w:val="32"/>
          <w:highlight w:val="none"/>
        </w:rPr>
        <w:t>（标段名称）</w:t>
      </w:r>
      <w:r>
        <w:rPr>
          <w:rFonts w:eastAsia="黑体"/>
          <w:i w:val="0"/>
          <w:iCs w:val="0"/>
          <w:sz w:val="28"/>
          <w:szCs w:val="28"/>
          <w:highlight w:val="none"/>
        </w:rPr>
        <w:t>招标公告</w:t>
      </w:r>
    </w:p>
    <w:p>
      <w:pPr>
        <w:pageBreakBefore w:val="0"/>
        <w:widowControl w:val="0"/>
        <w:kinsoku/>
        <w:wordWrap/>
        <w:overflowPunct/>
        <w:topLinePunct w:val="0"/>
        <w:bidi w:val="0"/>
        <w:snapToGrid/>
        <w:spacing w:line="440" w:lineRule="exact"/>
        <w:jc w:val="center"/>
        <w:textAlignment w:val="auto"/>
        <w:rPr>
          <w:rFonts w:eastAsia="黑体"/>
          <w:i w:val="0"/>
          <w:iCs w:val="0"/>
          <w:sz w:val="20"/>
          <w:szCs w:val="20"/>
          <w:highlight w:val="none"/>
        </w:rPr>
      </w:pPr>
      <w:r>
        <w:rPr>
          <w:rFonts w:eastAsia="黑体"/>
          <w:i w:val="0"/>
          <w:iCs w:val="0"/>
          <w:sz w:val="29"/>
          <w:szCs w:val="29"/>
          <w:highlight w:val="none"/>
        </w:rPr>
        <w:t xml:space="preserve"> </w:t>
      </w:r>
      <w:r>
        <w:rPr>
          <w:rFonts w:eastAsia="黑体"/>
          <w:i w:val="0"/>
          <w:iCs w:val="0"/>
          <w:sz w:val="20"/>
          <w:szCs w:val="20"/>
          <w:highlight w:val="none"/>
        </w:rPr>
        <w:t xml:space="preserve">               </w:t>
      </w:r>
    </w:p>
    <w:p>
      <w:pPr>
        <w:pStyle w:val="3"/>
        <w:pageBreakBefore w:val="0"/>
        <w:widowControl/>
        <w:tabs>
          <w:tab w:val="left" w:pos="4205"/>
        </w:tabs>
        <w:kinsoku/>
        <w:wordWrap/>
        <w:overflowPunct/>
        <w:topLinePunct w:val="0"/>
        <w:bidi w:val="0"/>
        <w:snapToGrid/>
        <w:spacing w:before="143" w:beforeLines="50" w:after="143" w:afterLines="50" w:line="440" w:lineRule="exact"/>
        <w:textAlignment w:val="auto"/>
        <w:rPr>
          <w:rFonts w:hint="eastAsia" w:ascii="黑体" w:hAnsi="黑体" w:cs="Calibri"/>
          <w:b w:val="0"/>
          <w:bCs w:val="0"/>
          <w:i w:val="0"/>
          <w:iCs w:val="0"/>
          <w:highlight w:val="none"/>
        </w:rPr>
      </w:pPr>
      <w:bookmarkStart w:id="20" w:name="_Toc152045512"/>
      <w:bookmarkStart w:id="21" w:name="_Toc4461"/>
      <w:bookmarkStart w:id="22" w:name="_Toc152042288"/>
      <w:bookmarkStart w:id="23" w:name="_Toc247513934"/>
      <w:bookmarkStart w:id="24" w:name="_Toc144974480"/>
      <w:bookmarkStart w:id="25" w:name="_Toc247527535"/>
      <w:r>
        <w:rPr>
          <w:rFonts w:hint="eastAsia" w:ascii="黑体" w:hAnsi="黑体" w:cs="Calibri"/>
          <w:b w:val="0"/>
          <w:bCs w:val="0"/>
          <w:i w:val="0"/>
          <w:iCs w:val="0"/>
          <w:highlight w:val="none"/>
        </w:rPr>
        <w:t>1. 招标条件</w:t>
      </w:r>
      <w:bookmarkEnd w:id="20"/>
      <w:bookmarkEnd w:id="21"/>
      <w:bookmarkEnd w:id="22"/>
      <w:bookmarkEnd w:id="23"/>
      <w:bookmarkEnd w:id="24"/>
      <w:bookmarkEnd w:id="25"/>
    </w:p>
    <w:p>
      <w:pPr>
        <w:pageBreakBefore w:val="0"/>
        <w:widowControl w:val="0"/>
        <w:kinsoku/>
        <w:wordWrap/>
        <w:overflowPunct/>
        <w:topLinePunct w:val="0"/>
        <w:bidi w:val="0"/>
        <w:snapToGrid/>
        <w:spacing w:line="400" w:lineRule="exac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本招标项目</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（项目名称）已由</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（项目审批</w:t>
      </w:r>
      <w:r>
        <w:rPr>
          <w:rFonts w:hint="eastAsia" w:ascii="仿宋_GB2312" w:hAnsi="仿宋_GB2312" w:eastAsia="仿宋_GB2312" w:cs="仿宋_GB2312"/>
          <w:i w:val="0"/>
          <w:iCs w:val="0"/>
          <w:szCs w:val="21"/>
          <w:highlight w:val="none"/>
          <w:lang w:eastAsia="zh-CN"/>
        </w:rPr>
        <w:t>，</w:t>
      </w:r>
      <w:r>
        <w:rPr>
          <w:rFonts w:hint="eastAsia" w:ascii="仿宋_GB2312" w:hAnsi="仿宋_GB2312" w:eastAsia="仿宋_GB2312" w:cs="仿宋_GB2312"/>
          <w:i w:val="0"/>
          <w:iCs w:val="0"/>
          <w:szCs w:val="21"/>
          <w:highlight w:val="none"/>
        </w:rPr>
        <w:t>核准或备案机关名称）以</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（批文名称及编号）批准建设，建设资金来自</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（资金来源），项目出资比例为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w:t>
      </w:r>
      <w:r>
        <w:rPr>
          <w:rFonts w:hint="eastAsia" w:ascii="仿宋_GB2312" w:hAnsi="仿宋_GB2312" w:eastAsia="仿宋_GB2312" w:cs="仿宋_GB2312"/>
          <w:i w:val="0"/>
          <w:iCs w:val="0"/>
          <w:szCs w:val="21"/>
          <w:highlight w:val="none"/>
          <w:lang w:eastAsia="zh-CN"/>
        </w:rPr>
        <w:t>法人</w:t>
      </w:r>
      <w:r>
        <w:rPr>
          <w:rFonts w:hint="eastAsia" w:ascii="仿宋_GB2312" w:hAnsi="仿宋_GB2312" w:eastAsia="仿宋_GB2312" w:cs="仿宋_GB2312"/>
          <w:i w:val="0"/>
          <w:iCs w:val="0"/>
          <w:szCs w:val="21"/>
          <w:highlight w:val="none"/>
        </w:rPr>
        <w:t>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，招标人为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lang w:eastAsia="zh-CN"/>
        </w:rPr>
        <w:t>，</w:t>
      </w:r>
      <w:r>
        <w:rPr>
          <w:rFonts w:hint="eastAsia" w:ascii="仿宋_GB2312" w:hAnsi="_x000B__x000C_" w:eastAsia="仿宋_GB2312"/>
          <w:i w:val="0"/>
          <w:iCs w:val="0"/>
          <w:szCs w:val="21"/>
          <w:highlight w:val="none"/>
        </w:rPr>
        <w:t>招标代理机构为</w:t>
      </w:r>
      <w:r>
        <w:rPr>
          <w:rFonts w:hint="eastAsia" w:ascii="仿宋_GB2312" w:hAnsi="_x000B__x000C_" w:eastAsia="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。项目已具备招标条件，现对该项目项目管理总承包（PMC）进行公开招标。</w:t>
      </w:r>
    </w:p>
    <w:p>
      <w:pPr>
        <w:pStyle w:val="3"/>
        <w:pageBreakBefore w:val="0"/>
        <w:widowControl/>
        <w:tabs>
          <w:tab w:val="left" w:pos="4205"/>
        </w:tabs>
        <w:kinsoku/>
        <w:wordWrap/>
        <w:overflowPunct/>
        <w:topLinePunct w:val="0"/>
        <w:bidi w:val="0"/>
        <w:snapToGrid/>
        <w:spacing w:before="143" w:beforeLines="50" w:after="143" w:afterLines="50" w:line="440" w:lineRule="exact"/>
        <w:textAlignment w:val="auto"/>
        <w:rPr>
          <w:rFonts w:hint="eastAsia" w:ascii="黑体" w:hAnsi="黑体" w:cs="Calibri"/>
          <w:b w:val="0"/>
          <w:bCs w:val="0"/>
          <w:i w:val="0"/>
          <w:iCs w:val="0"/>
          <w:highlight w:val="none"/>
        </w:rPr>
      </w:pPr>
      <w:bookmarkStart w:id="26" w:name="_Toc247513935"/>
      <w:bookmarkStart w:id="27" w:name="_Toc144974481"/>
      <w:bookmarkStart w:id="28" w:name="_Toc6052"/>
      <w:bookmarkStart w:id="29" w:name="_Toc247527536"/>
      <w:bookmarkStart w:id="30" w:name="_Toc152042289"/>
      <w:bookmarkStart w:id="31" w:name="_Toc152045513"/>
      <w:r>
        <w:rPr>
          <w:rFonts w:hint="eastAsia" w:ascii="黑体" w:hAnsi="黑体" w:cs="Calibri"/>
          <w:b w:val="0"/>
          <w:bCs w:val="0"/>
          <w:i w:val="0"/>
          <w:iCs w:val="0"/>
          <w:highlight w:val="none"/>
        </w:rPr>
        <w:t>2. 项目概况与招标范围</w:t>
      </w:r>
      <w:bookmarkEnd w:id="26"/>
      <w:bookmarkEnd w:id="27"/>
      <w:bookmarkEnd w:id="28"/>
      <w:bookmarkEnd w:id="29"/>
      <w:bookmarkEnd w:id="30"/>
      <w:bookmarkEnd w:id="31"/>
    </w:p>
    <w:p>
      <w:pPr>
        <w:pageBreakBefore w:val="0"/>
        <w:widowControl w:val="0"/>
        <w:kinsoku/>
        <w:wordWrap/>
        <w:overflowPunct/>
        <w:topLinePunct w:val="0"/>
        <w:bidi w:val="0"/>
        <w:snapToGrid/>
        <w:spacing w:line="400" w:lineRule="exact"/>
        <w:textAlignment w:val="auto"/>
        <w:rPr>
          <w:rFonts w:hint="eastAsia" w:ascii="仿宋_GB2312" w:hAnsi="仿宋_GB2312" w:eastAsia="仿宋_GB2312" w:cs="仿宋_GB2312"/>
          <w:i w:val="0"/>
          <w:iCs w:val="0"/>
          <w:szCs w:val="21"/>
          <w:highlight w:val="none"/>
        </w:rPr>
      </w:pPr>
      <w:r>
        <w:rPr>
          <w:i w:val="0"/>
          <w:iCs w:val="0"/>
          <w:szCs w:val="21"/>
          <w:highlight w:val="none"/>
        </w:rPr>
        <w:t>　</w:t>
      </w:r>
      <w:r>
        <w:rPr>
          <w:rFonts w:hint="eastAsia" w:ascii="仿宋_GB2312" w:hAnsi="仿宋_GB2312" w:eastAsia="仿宋_GB2312" w:cs="仿宋_GB2312"/>
          <w:i w:val="0"/>
          <w:iCs w:val="0"/>
          <w:szCs w:val="21"/>
          <w:highlight w:val="none"/>
        </w:rPr>
        <w:t>　2.1 工程概况</w:t>
      </w:r>
    </w:p>
    <w:p>
      <w:pPr>
        <w:pageBreakBefore w:val="0"/>
        <w:widowControl w:val="0"/>
        <w:kinsoku/>
        <w:wordWrap/>
        <w:overflowPunct/>
        <w:topLinePunct w:val="0"/>
        <w:bidi w:val="0"/>
        <w:snapToGrid/>
        <w:spacing w:line="400" w:lineRule="exact"/>
        <w:ind w:firstLine="420" w:firstLineChars="200"/>
        <w:textAlignment w:val="auto"/>
        <w:rPr>
          <w:rFonts w:hint="eastAsia" w:ascii="仿宋_GB2312" w:hAnsi="仿宋_GB2312" w:eastAsia="仿宋_GB2312" w:cs="仿宋_GB2312"/>
          <w:b/>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w:t>
      </w:r>
      <w:r>
        <w:rPr>
          <w:rFonts w:hint="eastAsia" w:ascii="仿宋_GB2312" w:hAnsi="仿宋_GB2312" w:eastAsia="仿宋_GB2312" w:cs="仿宋_GB2312"/>
          <w:b/>
          <w:i w:val="0"/>
          <w:iCs w:val="0"/>
          <w:szCs w:val="21"/>
          <w:highlight w:val="none"/>
        </w:rPr>
        <w:t>说明：本次招标项目的建设地点、规模及标准、计划工期、功能需求</w:t>
      </w:r>
      <w:r>
        <w:rPr>
          <w:rFonts w:hint="eastAsia" w:ascii="仿宋_GB2312" w:hAnsi="仿宋_GB2312" w:eastAsia="仿宋_GB2312" w:cs="仿宋_GB2312"/>
          <w:i w:val="0"/>
          <w:iCs w:val="0"/>
          <w:szCs w:val="21"/>
          <w:highlight w:val="none"/>
        </w:rPr>
        <w:t>等</w:t>
      </w:r>
      <w:r>
        <w:rPr>
          <w:rFonts w:hint="eastAsia" w:ascii="仿宋_GB2312" w:hAnsi="仿宋_GB2312" w:eastAsia="仿宋_GB2312" w:cs="仿宋_GB2312"/>
          <w:b/>
          <w:i w:val="0"/>
          <w:iCs w:val="0"/>
          <w:szCs w:val="21"/>
          <w:highlight w:val="none"/>
        </w:rPr>
        <w:t>）</w:t>
      </w:r>
    </w:p>
    <w:p>
      <w:pPr>
        <w:pageBreakBefore w:val="0"/>
        <w:widowControl w:val="0"/>
        <w:kinsoku/>
        <w:wordWrap/>
        <w:overflowPunct/>
        <w:topLinePunct w:val="0"/>
        <w:bidi w:val="0"/>
        <w:snapToGrid/>
        <w:spacing w:line="40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 招标范围</w:t>
      </w:r>
    </w:p>
    <w:p>
      <w:pPr>
        <w:pageBreakBefore w:val="0"/>
        <w:widowControl w:val="0"/>
        <w:kinsoku/>
        <w:wordWrap/>
        <w:overflowPunct/>
        <w:topLinePunct w:val="0"/>
        <w:bidi w:val="0"/>
        <w:snapToGrid/>
        <w:spacing w:line="400" w:lineRule="exact"/>
        <w:ind w:firstLine="421"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b/>
          <w:i w:val="0"/>
          <w:iCs w:val="0"/>
          <w:szCs w:val="21"/>
          <w:highlight w:val="none"/>
        </w:rPr>
        <w:t>（说明：叙述采购、施工等主要内容及是否需要项目管理总承包（PMC）单位进行联合试运行、人员培训、项目法人单位需要开展的各项验收组织、工程移交等工作内容。）</w:t>
      </w:r>
    </w:p>
    <w:p>
      <w:pPr>
        <w:pStyle w:val="3"/>
        <w:pageBreakBefore w:val="0"/>
        <w:widowControl/>
        <w:tabs>
          <w:tab w:val="left" w:pos="4205"/>
        </w:tabs>
        <w:kinsoku/>
        <w:wordWrap/>
        <w:overflowPunct/>
        <w:topLinePunct w:val="0"/>
        <w:bidi w:val="0"/>
        <w:snapToGrid/>
        <w:spacing w:before="143" w:beforeLines="50" w:after="143" w:afterLines="50" w:line="440" w:lineRule="exact"/>
        <w:textAlignment w:val="auto"/>
        <w:rPr>
          <w:rFonts w:hint="eastAsia" w:ascii="黑体" w:hAnsi="黑体" w:cs="Calibri"/>
          <w:b w:val="0"/>
          <w:bCs w:val="0"/>
          <w:i w:val="0"/>
          <w:iCs w:val="0"/>
          <w:highlight w:val="none"/>
        </w:rPr>
      </w:pPr>
      <w:bookmarkStart w:id="32" w:name="_Toc247513936"/>
      <w:bookmarkStart w:id="33" w:name="_Toc21240"/>
      <w:bookmarkStart w:id="34" w:name="_Toc247527537"/>
      <w:bookmarkStart w:id="35" w:name="_Toc144974482"/>
      <w:bookmarkStart w:id="36" w:name="_Toc152045514"/>
      <w:bookmarkStart w:id="37" w:name="_Toc152042290"/>
      <w:r>
        <w:rPr>
          <w:rFonts w:hint="eastAsia" w:ascii="黑体" w:hAnsi="黑体" w:cs="Calibri"/>
          <w:b w:val="0"/>
          <w:bCs w:val="0"/>
          <w:i w:val="0"/>
          <w:iCs w:val="0"/>
          <w:highlight w:val="none"/>
        </w:rPr>
        <w:t>3. 投标人资格要求</w:t>
      </w:r>
      <w:bookmarkEnd w:id="32"/>
      <w:bookmarkEnd w:id="33"/>
      <w:bookmarkEnd w:id="34"/>
      <w:bookmarkEnd w:id="35"/>
      <w:bookmarkEnd w:id="36"/>
      <w:bookmarkEnd w:id="37"/>
    </w:p>
    <w:p>
      <w:pPr>
        <w:pageBreakBefore w:val="0"/>
        <w:widowControl w:val="0"/>
        <w:kinsoku/>
        <w:wordWrap/>
        <w:overflowPunct/>
        <w:topLinePunct w:val="0"/>
        <w:bidi w:val="0"/>
        <w:snapToGrid/>
        <w:spacing w:line="40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 本次招标要求投标人须具备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资质，</w:t>
      </w:r>
      <w:r>
        <w:rPr>
          <w:rFonts w:hint="eastAsia" w:ascii="仿宋_GB2312" w:hAnsi="仿宋_GB2312" w:eastAsia="仿宋_GB2312" w:cs="仿宋_GB2312"/>
          <w:i w:val="0"/>
          <w:iCs w:val="0"/>
          <w:szCs w:val="21"/>
          <w:highlight w:val="none"/>
          <w:lang w:val="en-US" w:eastAsia="zh-CN"/>
        </w:rPr>
        <w:t xml:space="preserve">      </w:t>
      </w:r>
      <w:r>
        <w:rPr>
          <w:rFonts w:hint="eastAsia" w:ascii="仿宋_GB2312" w:hAnsi="仿宋_GB2312" w:eastAsia="仿宋_GB2312" w:cs="仿宋_GB2312"/>
          <w:i w:val="0"/>
          <w:iCs w:val="0"/>
          <w:szCs w:val="21"/>
          <w:highlight w:val="none"/>
        </w:rPr>
        <w:t>业绩，并在人员、设备、资金等方面具有相应的</w:t>
      </w:r>
      <w:r>
        <w:rPr>
          <w:rFonts w:hint="eastAsia" w:ascii="仿宋_GB2312" w:hAnsi="仿宋_GB2312" w:eastAsia="仿宋_GB2312" w:cs="仿宋_GB2312"/>
          <w:i w:val="0"/>
          <w:iCs w:val="0"/>
          <w:szCs w:val="21"/>
          <w:highlight w:val="none"/>
          <w:lang w:eastAsia="zh-CN"/>
        </w:rPr>
        <w:t>项目管理</w:t>
      </w:r>
      <w:r>
        <w:rPr>
          <w:rFonts w:hint="eastAsia" w:ascii="仿宋_GB2312" w:hAnsi="仿宋_GB2312" w:eastAsia="仿宋_GB2312" w:cs="仿宋_GB2312"/>
          <w:i w:val="0"/>
          <w:iCs w:val="0"/>
          <w:szCs w:val="21"/>
          <w:highlight w:val="none"/>
        </w:rPr>
        <w:t>总承包能力。</w:t>
      </w:r>
    </w:p>
    <w:p>
      <w:pPr>
        <w:pageBreakBefore w:val="0"/>
        <w:widowControl w:val="0"/>
        <w:kinsoku/>
        <w:wordWrap/>
        <w:overflowPunct/>
        <w:topLinePunct w:val="0"/>
        <w:bidi w:val="0"/>
        <w:snapToGrid/>
        <w:spacing w:line="40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 本次招标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（接受或不接受）联合体投标。联合体投标的，应满足下列要求：</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pageBreakBefore w:val="0"/>
        <w:widowControl w:val="0"/>
        <w:kinsoku/>
        <w:wordWrap/>
        <w:overflowPunct/>
        <w:topLinePunct w:val="0"/>
        <w:bidi w:val="0"/>
        <w:snapToGrid/>
        <w:spacing w:line="400" w:lineRule="exact"/>
        <w:ind w:firstLine="420" w:firstLineChars="200"/>
        <w:jc w:val="lef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3.3投标人在《</w:t>
      </w:r>
      <w:r>
        <w:rPr>
          <w:rFonts w:hint="eastAsia" w:ascii="仿宋_GB2312" w:hAnsi="仿宋_GB2312" w:eastAsia="仿宋_GB2312" w:cs="仿宋_GB2312"/>
          <w:i w:val="0"/>
          <w:iCs w:val="0"/>
          <w:szCs w:val="21"/>
          <w:highlight w:val="none"/>
          <w:lang w:eastAsia="zh-CN"/>
        </w:rPr>
        <w:t>全国</w:t>
      </w:r>
      <w:r>
        <w:rPr>
          <w:rFonts w:hint="eastAsia" w:ascii="仿宋_GB2312" w:hAnsi="仿宋_GB2312" w:eastAsia="仿宋_GB2312" w:cs="仿宋_GB2312"/>
          <w:i w:val="0"/>
          <w:iCs w:val="0"/>
          <w:szCs w:val="21"/>
          <w:highlight w:val="none"/>
        </w:rPr>
        <w:t>水利建设市场监管平台》企业信息完整度应达到85%及以上，提供网络截图。</w:t>
      </w:r>
    </w:p>
    <w:p>
      <w:pPr>
        <w:pageBreakBefore w:val="0"/>
        <w:widowControl w:val="0"/>
        <w:kinsoku/>
        <w:wordWrap/>
        <w:overflowPunct/>
        <w:topLinePunct w:val="0"/>
        <w:bidi w:val="0"/>
        <w:snapToGrid/>
        <w:spacing w:line="400" w:lineRule="exact"/>
        <w:ind w:firstLine="420" w:firstLineChars="200"/>
        <w:jc w:val="left"/>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szCs w:val="21"/>
          <w:highlight w:val="none"/>
        </w:rPr>
        <w:t>3.4 本次招标实行资格后审，资格审查的具体要求见招标文件。</w:t>
      </w:r>
      <w:r>
        <w:rPr>
          <w:rFonts w:hint="eastAsia" w:ascii="仿宋_GB2312" w:hAnsi="仿宋_GB2312" w:eastAsia="仿宋_GB2312" w:cs="仿宋_GB2312"/>
          <w:i w:val="0"/>
          <w:iCs w:val="0"/>
          <w:highlight w:val="none"/>
        </w:rPr>
        <w:t>资格后审不合格的投标人投标文件将被否决。</w:t>
      </w:r>
    </w:p>
    <w:p>
      <w:pPr>
        <w:pStyle w:val="3"/>
        <w:widowControl/>
        <w:tabs>
          <w:tab w:val="left" w:pos="4205"/>
        </w:tabs>
        <w:spacing w:before="143" w:beforeLines="50" w:after="143" w:afterLines="50" w:line="440" w:lineRule="exact"/>
        <w:jc w:val="left"/>
        <w:rPr>
          <w:rFonts w:hint="eastAsia" w:ascii="黑体" w:hAnsi="黑体" w:eastAsia="黑体" w:cs="Calibri"/>
          <w:b w:val="0"/>
          <w:bCs w:val="0"/>
          <w:i w:val="0"/>
          <w:iCs w:val="0"/>
          <w:highlight w:val="none"/>
        </w:rPr>
      </w:pPr>
      <w:bookmarkStart w:id="38" w:name="_Toc9925"/>
      <w:r>
        <w:rPr>
          <w:rFonts w:hint="eastAsia" w:ascii="黑体" w:hAnsi="黑体" w:eastAsia="黑体" w:cs="Calibri"/>
          <w:b w:val="0"/>
          <w:bCs w:val="0"/>
          <w:i w:val="0"/>
          <w:iCs w:val="0"/>
          <w:highlight w:val="none"/>
        </w:rPr>
        <w:t>4. 关注项目</w:t>
      </w:r>
      <w:bookmarkEnd w:id="38"/>
    </w:p>
    <w:p>
      <w:pPr>
        <w:pageBreakBefore w:val="0"/>
        <w:widowControl w:val="0"/>
        <w:kinsoku/>
        <w:wordWrap/>
        <w:overflowPunct/>
        <w:topLinePunct w:val="0"/>
        <w:bidi w:val="0"/>
        <w:snapToGrid/>
        <w:spacing w:line="400" w:lineRule="exact"/>
        <w:ind w:firstLine="420" w:firstLineChars="200"/>
        <w:jc w:val="left"/>
        <w:textAlignment w:val="auto"/>
        <w:rPr>
          <w:rFonts w:hint="eastAsia" w:ascii="仿宋_GB2312" w:hAnsi="仿宋_GB2312" w:eastAsia="仿宋_GB2312" w:cs="仿宋_GB2312"/>
          <w:i w:val="0"/>
          <w:iCs w:val="0"/>
          <w:highlight w:val="none"/>
        </w:rPr>
      </w:pPr>
      <w:r>
        <w:rPr>
          <w:rFonts w:hint="eastAsia" w:ascii="仿宋" w:hAnsi="仿宋" w:eastAsia="仿宋" w:cs="仿宋"/>
          <w:i w:val="0"/>
          <w:iCs w:val="0"/>
          <w:kern w:val="0"/>
          <w:szCs w:val="21"/>
          <w:highlight w:val="none"/>
        </w:rPr>
        <w:t>有意参加本项目的投标人，请于</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年</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月</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日至</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年</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月</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rPr>
        <w:t>日，在</w:t>
      </w:r>
      <w:r>
        <w:rPr>
          <w:rFonts w:hint="eastAsia" w:ascii="仿宋" w:hAnsi="仿宋" w:eastAsia="仿宋" w:cs="仿宋"/>
          <w:i w:val="0"/>
          <w:iCs w:val="0"/>
          <w:kern w:val="0"/>
          <w:szCs w:val="21"/>
          <w:highlight w:val="none"/>
          <w:u w:val="single"/>
        </w:rPr>
        <w:t>西藏自治区公共资源交易平台（通过西藏自治区公共资源交易网登录，网址</w:t>
      </w:r>
      <w:r>
        <w:rPr>
          <w:rFonts w:hint="eastAsia" w:ascii="仿宋" w:hAnsi="仿宋" w:eastAsia="仿宋" w:cs="仿宋"/>
          <w:i w:val="0"/>
          <w:iCs w:val="0"/>
          <w:szCs w:val="21"/>
          <w:highlight w:val="none"/>
          <w:u w:val="single"/>
        </w:rPr>
        <w:t>：ggzy.xizang.gov.cn）</w:t>
      </w:r>
      <w:r>
        <w:rPr>
          <w:rFonts w:hint="eastAsia" w:ascii="仿宋" w:hAnsi="仿宋" w:eastAsia="仿宋" w:cs="仿宋"/>
          <w:i w:val="0"/>
          <w:iCs w:val="0"/>
          <w:kern w:val="0"/>
          <w:szCs w:val="21"/>
          <w:highlight w:val="none"/>
        </w:rPr>
        <w:t>关注项目。关注项目时需添加相关执业及从业人员并进行打印，打印后，将相关执业及从业人员编入投标文件中。</w:t>
      </w:r>
      <w:r>
        <w:rPr>
          <w:rFonts w:hint="eastAsia" w:ascii="仿宋_GB2312" w:hAnsi="仿宋" w:eastAsia="仿宋_GB2312"/>
          <w:bCs/>
          <w:i w:val="0"/>
          <w:iCs w:val="0"/>
          <w:snapToGrid w:val="0"/>
          <w:kern w:val="0"/>
          <w:szCs w:val="21"/>
          <w:highlight w:val="none"/>
          <w:lang w:val="en-US" w:eastAsia="zh-CN"/>
        </w:rPr>
        <w:t>首次登陆须持有</w:t>
      </w:r>
      <w:r>
        <w:rPr>
          <w:rFonts w:hint="eastAsia" w:ascii="仿宋_GB2312" w:hAnsi="仿宋" w:eastAsia="仿宋_GB2312"/>
          <w:bCs/>
          <w:i w:val="0"/>
          <w:iCs w:val="0"/>
          <w:snapToGrid w:val="0"/>
          <w:kern w:val="0"/>
          <w:szCs w:val="21"/>
          <w:highlight w:val="none"/>
          <w:lang w:eastAsia="zh-CN"/>
        </w:rPr>
        <w:t>西藏自治区公共资源交易平台</w:t>
      </w:r>
      <w:r>
        <w:rPr>
          <w:rFonts w:hint="eastAsia" w:ascii="仿宋_GB2312" w:hAnsi="仿宋" w:eastAsia="仿宋_GB2312"/>
          <w:bCs/>
          <w:i w:val="0"/>
          <w:iCs w:val="0"/>
          <w:snapToGrid w:val="0"/>
          <w:kern w:val="0"/>
          <w:szCs w:val="21"/>
          <w:highlight w:val="none"/>
          <w:lang w:val="en-US" w:eastAsia="zh-CN"/>
        </w:rPr>
        <w:t>兼容的数字证书并完成交易主体登记。</w:t>
      </w:r>
      <w:r>
        <w:rPr>
          <w:rFonts w:hint="eastAsia" w:ascii="仿宋_GB2312" w:hAnsi="仿宋" w:eastAsia="仿宋_GB2312"/>
          <w:bCs/>
          <w:i w:val="0"/>
          <w:iCs w:val="0"/>
          <w:snapToGrid w:val="0"/>
          <w:kern w:val="0"/>
          <w:szCs w:val="21"/>
          <w:highlight w:val="none"/>
        </w:rPr>
        <w:t>下述所称</w:t>
      </w:r>
      <w:r>
        <w:rPr>
          <w:rFonts w:hint="eastAsia" w:ascii="仿宋_GB2312" w:hAnsi="仿宋" w:eastAsia="仿宋_GB2312"/>
          <w:bCs/>
          <w:i w:val="0"/>
          <w:iCs w:val="0"/>
          <w:snapToGrid w:val="0"/>
          <w:kern w:val="0"/>
          <w:szCs w:val="21"/>
          <w:highlight w:val="none"/>
          <w:lang w:val="en-US" w:eastAsia="zh-CN"/>
        </w:rPr>
        <w:t>电子</w:t>
      </w:r>
      <w:r>
        <w:rPr>
          <w:rFonts w:hint="eastAsia" w:ascii="仿宋_GB2312" w:hAnsi="仿宋" w:eastAsia="仿宋_GB2312"/>
          <w:bCs/>
          <w:i w:val="0"/>
          <w:iCs w:val="0"/>
          <w:snapToGrid w:val="0"/>
          <w:kern w:val="0"/>
          <w:szCs w:val="21"/>
          <w:highlight w:val="none"/>
        </w:rPr>
        <w:t>交易</w:t>
      </w:r>
      <w:r>
        <w:rPr>
          <w:rFonts w:hint="eastAsia" w:ascii="仿宋_GB2312" w:hAnsi="仿宋" w:eastAsia="仿宋_GB2312"/>
          <w:bCs/>
          <w:i w:val="0"/>
          <w:iCs w:val="0"/>
          <w:snapToGrid w:val="0"/>
          <w:kern w:val="0"/>
          <w:szCs w:val="21"/>
          <w:highlight w:val="none"/>
          <w:lang w:val="en-US" w:eastAsia="zh-CN"/>
        </w:rPr>
        <w:t>系统</w:t>
      </w:r>
      <w:r>
        <w:rPr>
          <w:rFonts w:hint="eastAsia" w:ascii="仿宋_GB2312" w:hAnsi="仿宋" w:eastAsia="仿宋_GB2312"/>
          <w:bCs/>
          <w:i w:val="0"/>
          <w:iCs w:val="0"/>
          <w:snapToGrid w:val="0"/>
          <w:kern w:val="0"/>
          <w:szCs w:val="21"/>
          <w:highlight w:val="none"/>
        </w:rPr>
        <w:t>除特别说明外均指西藏自治区公共资源交易平台</w:t>
      </w:r>
      <w:r>
        <w:rPr>
          <w:rFonts w:hint="eastAsia" w:ascii="仿宋_GB2312" w:hAnsi="仿宋" w:eastAsia="仿宋_GB2312"/>
          <w:bCs/>
          <w:i w:val="0"/>
          <w:iCs w:val="0"/>
          <w:snapToGrid w:val="0"/>
          <w:kern w:val="0"/>
          <w:szCs w:val="21"/>
          <w:highlight w:val="none"/>
          <w:lang w:eastAsia="zh-CN"/>
        </w:rPr>
        <w:t>。</w:t>
      </w:r>
    </w:p>
    <w:p>
      <w:pPr>
        <w:pStyle w:val="3"/>
        <w:pageBreakBefore w:val="0"/>
        <w:widowControl/>
        <w:tabs>
          <w:tab w:val="left" w:pos="4205"/>
        </w:tabs>
        <w:kinsoku/>
        <w:wordWrap/>
        <w:overflowPunct/>
        <w:topLinePunct w:val="0"/>
        <w:bidi w:val="0"/>
        <w:snapToGrid/>
        <w:spacing w:before="143" w:beforeLines="50" w:after="143" w:afterLines="50" w:line="440" w:lineRule="exact"/>
        <w:textAlignment w:val="auto"/>
        <w:rPr>
          <w:rFonts w:hint="eastAsia" w:ascii="黑体" w:hAnsi="黑体" w:cs="Calibri"/>
          <w:b w:val="0"/>
          <w:bCs w:val="0"/>
          <w:i w:val="0"/>
          <w:iCs w:val="0"/>
          <w:highlight w:val="none"/>
        </w:rPr>
      </w:pPr>
      <w:bookmarkStart w:id="39" w:name="_Toc247513937"/>
      <w:bookmarkStart w:id="40" w:name="_Toc152045515"/>
      <w:bookmarkStart w:id="41" w:name="_Toc144974483"/>
      <w:bookmarkStart w:id="42" w:name="_Toc247527538"/>
      <w:bookmarkStart w:id="43" w:name="_Toc2807"/>
      <w:bookmarkStart w:id="44" w:name="_Toc152042291"/>
      <w:r>
        <w:rPr>
          <w:rFonts w:hint="eastAsia" w:ascii="黑体" w:hAnsi="黑体" w:cs="Calibri"/>
          <w:b w:val="0"/>
          <w:bCs w:val="0"/>
          <w:i w:val="0"/>
          <w:iCs w:val="0"/>
          <w:highlight w:val="none"/>
          <w:lang w:val="en-US" w:eastAsia="zh-CN"/>
        </w:rPr>
        <w:t>5</w:t>
      </w:r>
      <w:r>
        <w:rPr>
          <w:rFonts w:hint="eastAsia" w:ascii="黑体" w:hAnsi="黑体" w:cs="Calibri"/>
          <w:b w:val="0"/>
          <w:bCs w:val="0"/>
          <w:i w:val="0"/>
          <w:iCs w:val="0"/>
          <w:highlight w:val="none"/>
        </w:rPr>
        <w:t>. 招标文件的获取</w:t>
      </w:r>
      <w:bookmarkEnd w:id="39"/>
      <w:bookmarkEnd w:id="40"/>
      <w:bookmarkEnd w:id="41"/>
      <w:bookmarkEnd w:id="42"/>
      <w:bookmarkEnd w:id="43"/>
      <w:bookmarkEnd w:id="44"/>
    </w:p>
    <w:p>
      <w:pPr>
        <w:pageBreakBefore w:val="0"/>
        <w:widowControl w:val="0"/>
        <w:kinsoku/>
        <w:wordWrap/>
        <w:overflowPunct/>
        <w:topLinePunct w:val="0"/>
        <w:bidi w:val="0"/>
        <w:snapToGrid/>
        <w:spacing w:line="460" w:lineRule="exact"/>
        <w:ind w:firstLine="437"/>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lang w:val="en-US" w:eastAsia="zh-CN"/>
        </w:rPr>
        <w:t>5</w:t>
      </w:r>
      <w:r>
        <w:rPr>
          <w:rFonts w:hint="eastAsia" w:ascii="仿宋_GB2312" w:hAnsi="仿宋_GB2312" w:eastAsia="仿宋_GB2312" w:cs="仿宋_GB2312"/>
          <w:bCs/>
          <w:i w:val="0"/>
          <w:iCs w:val="0"/>
          <w:snapToGrid w:val="0"/>
          <w:kern w:val="0"/>
          <w:szCs w:val="21"/>
          <w:highlight w:val="none"/>
        </w:rPr>
        <w:t>.1获取时间：</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年</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月</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日至</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年</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月</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日。</w:t>
      </w:r>
    </w:p>
    <w:p>
      <w:pPr>
        <w:spacing w:line="460" w:lineRule="exact"/>
        <w:ind w:firstLine="437"/>
        <w:rPr>
          <w:rFonts w:hint="eastAsia" w:ascii="仿宋_GB2312" w:eastAsia="仿宋_GB2312"/>
          <w:bCs/>
          <w:i w:val="0"/>
          <w:iCs w:val="0"/>
          <w:snapToGrid w:val="0"/>
          <w:kern w:val="0"/>
          <w:szCs w:val="21"/>
          <w:highlight w:val="none"/>
        </w:rPr>
      </w:pPr>
      <w:bookmarkStart w:id="45" w:name="_Toc152045516"/>
      <w:bookmarkStart w:id="46" w:name="_Toc247527539"/>
      <w:bookmarkStart w:id="47" w:name="_Toc247513938"/>
      <w:bookmarkStart w:id="48" w:name="_Toc144974484"/>
      <w:bookmarkStart w:id="49" w:name="_Toc152042292"/>
      <w:r>
        <w:rPr>
          <w:rFonts w:hint="eastAsia" w:ascii="仿宋_GB2312" w:eastAsia="仿宋_GB2312"/>
          <w:bCs/>
          <w:i w:val="0"/>
          <w:iCs w:val="0"/>
          <w:snapToGrid w:val="0"/>
          <w:kern w:val="0"/>
          <w:szCs w:val="21"/>
          <w:highlight w:val="none"/>
          <w:lang w:val="en-US" w:eastAsia="zh-CN"/>
        </w:rPr>
        <w:t>5</w:t>
      </w:r>
      <w:r>
        <w:rPr>
          <w:rFonts w:hint="eastAsia" w:ascii="仿宋_GB2312" w:eastAsia="仿宋_GB2312"/>
          <w:bCs/>
          <w:i w:val="0"/>
          <w:iCs w:val="0"/>
          <w:snapToGrid w:val="0"/>
          <w:kern w:val="0"/>
          <w:szCs w:val="21"/>
          <w:highlight w:val="none"/>
        </w:rPr>
        <w:t>.2获取方式：</w:t>
      </w:r>
      <w:r>
        <w:rPr>
          <w:rFonts w:hint="eastAsia" w:ascii="仿宋_GB2312" w:hAnsi="仿宋" w:eastAsia="仿宋_GB2312"/>
          <w:bCs/>
          <w:i w:val="0"/>
          <w:iCs w:val="0"/>
          <w:snapToGrid w:val="0"/>
          <w:kern w:val="0"/>
          <w:szCs w:val="21"/>
          <w:highlight w:val="none"/>
        </w:rPr>
        <w:t>潜在投标人须登录</w:t>
      </w:r>
      <w:r>
        <w:rPr>
          <w:rFonts w:hint="eastAsia" w:ascii="仿宋_GB2312" w:hAnsi="仿宋" w:eastAsia="仿宋_GB2312"/>
          <w:bCs/>
          <w:i w:val="0"/>
          <w:iCs w:val="0"/>
          <w:snapToGrid w:val="0"/>
          <w:kern w:val="0"/>
          <w:szCs w:val="21"/>
          <w:highlight w:val="none"/>
          <w:u w:val="single"/>
        </w:rPr>
        <w:t xml:space="preserve">  </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 w:eastAsia="仿宋_GB2312"/>
          <w:bCs/>
          <w:i w:val="0"/>
          <w:iCs w:val="0"/>
          <w:snapToGrid w:val="0"/>
          <w:kern w:val="0"/>
          <w:szCs w:val="21"/>
          <w:highlight w:val="none"/>
          <w:u w:val="single"/>
        </w:rPr>
        <w:t xml:space="preserve"> </w:t>
      </w:r>
      <w:r>
        <w:rPr>
          <w:rFonts w:hint="eastAsia" w:ascii="仿宋_GB2312" w:hAnsi="仿宋" w:eastAsia="仿宋_GB2312"/>
          <w:bCs/>
          <w:i w:val="0"/>
          <w:iCs w:val="0"/>
          <w:snapToGrid w:val="0"/>
          <w:kern w:val="0"/>
          <w:szCs w:val="21"/>
          <w:highlight w:val="none"/>
        </w:rPr>
        <w:t>查阅招标文件。</w:t>
      </w:r>
      <w:r>
        <w:rPr>
          <w:rFonts w:hint="eastAsia" w:ascii="仿宋_GB2312" w:hAnsi="仿宋" w:eastAsia="仿宋_GB2312"/>
          <w:b w:val="0"/>
          <w:bCs/>
          <w:i w:val="0"/>
          <w:iCs w:val="0"/>
          <w:snapToGrid w:val="0"/>
          <w:kern w:val="0"/>
          <w:szCs w:val="21"/>
          <w:highlight w:val="none"/>
          <w:u w:val="single"/>
          <w:lang w:eastAsia="zh-CN"/>
        </w:rPr>
        <w:t>在</w:t>
      </w:r>
      <w:r>
        <w:rPr>
          <w:rFonts w:hint="eastAsia" w:ascii="仿宋_GB2312" w:hAnsi="仿宋" w:eastAsia="仿宋_GB2312"/>
          <w:b/>
          <w:bCs w:val="0"/>
          <w:i w:val="0"/>
          <w:iCs w:val="0"/>
          <w:snapToGrid w:val="0"/>
          <w:kern w:val="0"/>
          <w:szCs w:val="21"/>
          <w:highlight w:val="none"/>
          <w:u w:val="single"/>
          <w:lang w:eastAsia="zh-CN"/>
        </w:rPr>
        <w:t>西藏自治区公共资源交易平台（</w:t>
      </w:r>
      <w:r>
        <w:rPr>
          <w:rFonts w:hint="default" w:ascii="仿宋_GB2312" w:hAnsi="仿宋" w:eastAsia="仿宋_GB2312"/>
          <w:b/>
          <w:bCs w:val="0"/>
          <w:i w:val="0"/>
          <w:iCs w:val="0"/>
          <w:snapToGrid w:val="0"/>
          <w:kern w:val="0"/>
          <w:szCs w:val="21"/>
          <w:highlight w:val="none"/>
          <w:u w:val="single"/>
          <w:lang w:val="en" w:eastAsia="zh-CN"/>
        </w:rPr>
        <w:t>http://218.206.180.154:8081/gb-web/#/login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 w:eastAsia="仿宋_GB2312"/>
          <w:b/>
          <w:bCs/>
          <w:i w:val="0"/>
          <w:iCs w:val="0"/>
          <w:snapToGrid w:val="0"/>
          <w:kern w:val="0"/>
          <w:szCs w:val="21"/>
          <w:highlight w:val="none"/>
          <w:u w:val="single"/>
        </w:rPr>
        <w:t xml:space="preserve"> </w:t>
      </w:r>
      <w:r>
        <w:rPr>
          <w:rFonts w:hint="eastAsia" w:ascii="仿宋_GB2312" w:hAnsi="仿宋" w:eastAsia="仿宋_GB2312"/>
          <w:b w:val="0"/>
          <w:bCs w:val="0"/>
          <w:i w:val="0"/>
          <w:iCs w:val="0"/>
          <w:snapToGrid w:val="0"/>
          <w:kern w:val="0"/>
          <w:szCs w:val="21"/>
          <w:highlight w:val="none"/>
          <w:u w:val="single"/>
          <w:lang w:eastAsia="zh-CN"/>
        </w:rPr>
        <w:t>获取招标文件</w:t>
      </w:r>
      <w:r>
        <w:rPr>
          <w:rFonts w:hint="eastAsia" w:ascii="仿宋_GB2312" w:hAnsi="仿宋" w:eastAsia="仿宋_GB2312"/>
          <w:b/>
          <w:bCs/>
          <w:i w:val="0"/>
          <w:iCs w:val="0"/>
          <w:snapToGrid w:val="0"/>
          <w:kern w:val="0"/>
          <w:szCs w:val="21"/>
          <w:highlight w:val="none"/>
        </w:rPr>
        <w:t>。</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50" w:name="_Toc11460"/>
      <w:r>
        <w:rPr>
          <w:rFonts w:hint="eastAsia" w:ascii="黑体" w:hAnsi="黑体" w:cs="Calibri"/>
          <w:b w:val="0"/>
          <w:bCs w:val="0"/>
          <w:i w:val="0"/>
          <w:iCs w:val="0"/>
          <w:highlight w:val="none"/>
          <w:lang w:val="en-US" w:eastAsia="zh-CN"/>
        </w:rPr>
        <w:t>6</w:t>
      </w:r>
      <w:r>
        <w:rPr>
          <w:rFonts w:hint="eastAsia" w:ascii="黑体" w:hAnsi="黑体" w:cs="Calibri"/>
          <w:b w:val="0"/>
          <w:bCs w:val="0"/>
          <w:i w:val="0"/>
          <w:iCs w:val="0"/>
          <w:highlight w:val="none"/>
        </w:rPr>
        <w:t>. 投标文件的递交</w:t>
      </w:r>
      <w:bookmarkEnd w:id="45"/>
      <w:bookmarkEnd w:id="46"/>
      <w:bookmarkEnd w:id="47"/>
      <w:bookmarkEnd w:id="48"/>
      <w:bookmarkEnd w:id="49"/>
      <w:bookmarkEnd w:id="50"/>
    </w:p>
    <w:p>
      <w:pPr>
        <w:pageBreakBefore w:val="0"/>
        <w:widowControl w:val="0"/>
        <w:kinsoku/>
        <w:wordWrap/>
        <w:overflowPunct/>
        <w:topLinePunct w:val="0"/>
        <w:bidi w:val="0"/>
        <w:snapToGrid/>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lang w:val="en-US" w:eastAsia="zh-CN"/>
        </w:rPr>
        <w:t>6</w:t>
      </w:r>
      <w:r>
        <w:rPr>
          <w:rFonts w:hint="eastAsia" w:ascii="仿宋_GB2312" w:hAnsi="仿宋_GB2312" w:eastAsia="仿宋_GB2312" w:cs="仿宋_GB2312"/>
          <w:i w:val="0"/>
          <w:iCs w:val="0"/>
          <w:szCs w:val="21"/>
          <w:highlight w:val="none"/>
        </w:rPr>
        <w:t>.1投标文件递交的截止时间（投标截止时间，下同）为</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日</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时</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分，投标人应在截止时间前通过</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_GB2312" w:eastAsia="仿宋_GB2312" w:cs="仿宋_GB2312"/>
          <w:i w:val="0"/>
          <w:iCs w:val="0"/>
          <w:szCs w:val="21"/>
          <w:highlight w:val="none"/>
        </w:rPr>
        <w:t>（电子交易系统）递交电子投标文件。</w:t>
      </w:r>
    </w:p>
    <w:p>
      <w:pPr>
        <w:pageBreakBefore w:val="0"/>
        <w:widowControl w:val="0"/>
        <w:kinsoku/>
        <w:wordWrap/>
        <w:overflowPunct/>
        <w:topLinePunct w:val="0"/>
        <w:bidi w:val="0"/>
        <w:snapToGrid/>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lang w:val="en-US" w:eastAsia="zh-CN"/>
        </w:rPr>
        <w:t>6</w:t>
      </w:r>
      <w:r>
        <w:rPr>
          <w:rFonts w:hint="eastAsia" w:ascii="仿宋_GB2312" w:hAnsi="仿宋_GB2312" w:eastAsia="仿宋_GB2312" w:cs="仿宋_GB2312"/>
          <w:i w:val="0"/>
          <w:iCs w:val="0"/>
          <w:szCs w:val="21"/>
          <w:highlight w:val="none"/>
        </w:rPr>
        <w:t>.2 未按要求加密或逾期送达的电子投标文件，电子交易系统将予以拒收。</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51" w:name="_Toc15977298"/>
      <w:bookmarkStart w:id="52" w:name="_Toc33539258"/>
      <w:bookmarkStart w:id="53" w:name="_Toc21667"/>
      <w:bookmarkStart w:id="54" w:name="_Toc247527540"/>
      <w:bookmarkStart w:id="55" w:name="_Toc157499355"/>
      <w:bookmarkStart w:id="56" w:name="_Toc247513939"/>
      <w:r>
        <w:rPr>
          <w:rFonts w:hint="eastAsia" w:ascii="黑体" w:hAnsi="黑体" w:cs="Calibri"/>
          <w:b w:val="0"/>
          <w:bCs w:val="0"/>
          <w:i w:val="0"/>
          <w:iCs w:val="0"/>
          <w:highlight w:val="none"/>
          <w:lang w:val="en-US" w:eastAsia="zh-CN"/>
        </w:rPr>
        <w:t>7</w:t>
      </w:r>
      <w:r>
        <w:rPr>
          <w:rFonts w:hint="eastAsia" w:ascii="黑体" w:hAnsi="黑体" w:cs="Calibri"/>
          <w:b w:val="0"/>
          <w:bCs w:val="0"/>
          <w:i w:val="0"/>
          <w:iCs w:val="0"/>
          <w:highlight w:val="none"/>
        </w:rPr>
        <w:t>.</w:t>
      </w:r>
      <w:r>
        <w:rPr>
          <w:rFonts w:hint="eastAsia" w:ascii="黑体" w:hAnsi="黑体" w:cs="Calibri"/>
          <w:b w:val="0"/>
          <w:bCs w:val="0"/>
          <w:i w:val="0"/>
          <w:iCs w:val="0"/>
          <w:highlight w:val="none"/>
          <w:lang w:val="en-US" w:eastAsia="zh-CN"/>
        </w:rPr>
        <w:t xml:space="preserve"> </w:t>
      </w:r>
      <w:r>
        <w:rPr>
          <w:rFonts w:hint="eastAsia" w:ascii="黑体" w:hAnsi="黑体" w:cs="Calibri"/>
          <w:b w:val="0"/>
          <w:bCs w:val="0"/>
          <w:i w:val="0"/>
          <w:iCs w:val="0"/>
          <w:highlight w:val="none"/>
        </w:rPr>
        <w:t>开标时间及地点</w:t>
      </w:r>
      <w:bookmarkEnd w:id="51"/>
      <w:bookmarkEnd w:id="52"/>
      <w:bookmarkEnd w:id="53"/>
    </w:p>
    <w:p>
      <w:pPr>
        <w:pageBreakBefore w:val="0"/>
        <w:widowControl w:val="0"/>
        <w:kinsoku/>
        <w:wordWrap/>
        <w:overflowPunct/>
        <w:topLinePunct w:val="0"/>
        <w:bidi w:val="0"/>
        <w:snapToGrid/>
        <w:spacing w:line="440" w:lineRule="exact"/>
        <w:ind w:firstLine="435"/>
        <w:textAlignment w:val="auto"/>
        <w:rPr>
          <w:rFonts w:hint="eastAsia" w:ascii="仿宋_GB2312" w:hAnsi="仿宋_GB2312" w:eastAsia="仿宋_GB2312" w:cs="仿宋_GB2312"/>
          <w:bCs/>
          <w:i w:val="0"/>
          <w:iCs w:val="0"/>
          <w:snapToGrid w:val="0"/>
          <w:kern w:val="0"/>
          <w:sz w:val="21"/>
          <w:szCs w:val="21"/>
          <w:highlight w:val="none"/>
        </w:rPr>
      </w:pPr>
      <w:r>
        <w:rPr>
          <w:rFonts w:hint="eastAsia" w:ascii="仿宋_GB2312" w:hAnsi="仿宋_GB2312" w:eastAsia="仿宋_GB2312" w:cs="仿宋_GB2312"/>
          <w:bCs/>
          <w:i w:val="0"/>
          <w:iCs w:val="0"/>
          <w:snapToGrid w:val="0"/>
          <w:kern w:val="0"/>
          <w:sz w:val="21"/>
          <w:szCs w:val="21"/>
          <w:highlight w:val="none"/>
          <w:lang w:val="en-US" w:eastAsia="zh-CN"/>
        </w:rPr>
        <w:t>7</w:t>
      </w:r>
      <w:r>
        <w:rPr>
          <w:rFonts w:hint="eastAsia" w:ascii="仿宋_GB2312" w:hAnsi="仿宋_GB2312" w:eastAsia="仿宋_GB2312" w:cs="仿宋_GB2312"/>
          <w:bCs/>
          <w:i w:val="0"/>
          <w:iCs w:val="0"/>
          <w:snapToGrid w:val="0"/>
          <w:kern w:val="0"/>
          <w:sz w:val="21"/>
          <w:szCs w:val="21"/>
          <w:highlight w:val="none"/>
        </w:rPr>
        <w:t>.1开标时间：</w:t>
      </w:r>
      <w:r>
        <w:rPr>
          <w:rFonts w:hint="eastAsia" w:ascii="仿宋_GB2312" w:hAnsi="仿宋_GB2312" w:eastAsia="仿宋_GB2312" w:cs="仿宋_GB2312"/>
          <w:i w:val="0"/>
          <w:iCs w:val="0"/>
          <w:sz w:val="21"/>
          <w:szCs w:val="21"/>
          <w:highlight w:val="none"/>
          <w:u w:val="single"/>
        </w:rPr>
        <w:t>同投标截止时间</w:t>
      </w:r>
      <w:r>
        <w:rPr>
          <w:rFonts w:hint="eastAsia" w:ascii="仿宋_GB2312" w:hAnsi="仿宋_GB2312" w:eastAsia="仿宋_GB2312" w:cs="仿宋_GB2312"/>
          <w:bCs/>
          <w:i w:val="0"/>
          <w:iCs w:val="0"/>
          <w:snapToGrid w:val="0"/>
          <w:kern w:val="0"/>
          <w:sz w:val="21"/>
          <w:szCs w:val="21"/>
          <w:highlight w:val="none"/>
        </w:rPr>
        <w:t>。</w:t>
      </w:r>
    </w:p>
    <w:p>
      <w:pPr>
        <w:pageBreakBefore w:val="0"/>
        <w:widowControl w:val="0"/>
        <w:kinsoku/>
        <w:wordWrap/>
        <w:overflowPunct/>
        <w:topLinePunct w:val="0"/>
        <w:bidi w:val="0"/>
        <w:snapToGrid/>
        <w:spacing w:line="440" w:lineRule="exact"/>
        <w:ind w:firstLine="435"/>
        <w:textAlignment w:val="auto"/>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bCs/>
          <w:i w:val="0"/>
          <w:iCs w:val="0"/>
          <w:snapToGrid w:val="0"/>
          <w:kern w:val="0"/>
          <w:sz w:val="21"/>
          <w:szCs w:val="21"/>
          <w:highlight w:val="none"/>
          <w:lang w:val="en-US" w:eastAsia="zh-CN"/>
        </w:rPr>
        <w:t>7</w:t>
      </w:r>
      <w:r>
        <w:rPr>
          <w:rFonts w:hint="eastAsia" w:ascii="仿宋_GB2312" w:hAnsi="仿宋_GB2312" w:eastAsia="仿宋_GB2312" w:cs="仿宋_GB2312"/>
          <w:bCs/>
          <w:i w:val="0"/>
          <w:iCs w:val="0"/>
          <w:snapToGrid w:val="0"/>
          <w:kern w:val="0"/>
          <w:sz w:val="21"/>
          <w:szCs w:val="21"/>
          <w:highlight w:val="none"/>
        </w:rPr>
        <w:t>.2开标地点：</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宋体" w:eastAsia="仿宋_GB2312" w:cs="Calibri"/>
          <w:b/>
          <w:bCs/>
          <w:i w:val="0"/>
          <w:iCs w:val="0"/>
          <w:highlight w:val="none"/>
          <w:u w:val="single"/>
          <w:lang w:eastAsia="zh-CN"/>
        </w:rPr>
        <w:t>西藏自治区公共资源交易平台不见面开标大厅（可登录西藏自治区公共资源交易平台访问）</w:t>
      </w:r>
      <w:r>
        <w:rPr>
          <w:rFonts w:hint="eastAsia" w:ascii="仿宋_GB2312" w:hAnsi="仿宋_GB2312" w:eastAsia="仿宋_GB2312" w:cs="仿宋_GB2312"/>
          <w:bCs/>
          <w:i w:val="0"/>
          <w:iCs w:val="0"/>
          <w:snapToGrid w:val="0"/>
          <w:kern w:val="0"/>
          <w:sz w:val="21"/>
          <w:szCs w:val="21"/>
          <w:highlight w:val="none"/>
        </w:rPr>
        <w:t>。</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57" w:name="_Toc479262257"/>
      <w:bookmarkStart w:id="58" w:name="_Toc256516472"/>
      <w:bookmarkStart w:id="59" w:name="_Toc256516083"/>
      <w:bookmarkStart w:id="60" w:name="_Toc524462304"/>
      <w:bookmarkStart w:id="61" w:name="_Toc3043"/>
      <w:bookmarkStart w:id="62" w:name="_Toc33539259"/>
      <w:r>
        <w:rPr>
          <w:rFonts w:hint="eastAsia" w:ascii="黑体" w:hAnsi="黑体" w:cs="Calibri"/>
          <w:b w:val="0"/>
          <w:bCs w:val="0"/>
          <w:i w:val="0"/>
          <w:iCs w:val="0"/>
          <w:highlight w:val="none"/>
          <w:lang w:val="en-US" w:eastAsia="zh-CN"/>
        </w:rPr>
        <w:t>8</w:t>
      </w:r>
      <w:r>
        <w:rPr>
          <w:rFonts w:hint="eastAsia" w:ascii="黑体" w:hAnsi="黑体" w:cs="Calibri"/>
          <w:b w:val="0"/>
          <w:bCs w:val="0"/>
          <w:i w:val="0"/>
          <w:iCs w:val="0"/>
          <w:highlight w:val="none"/>
        </w:rPr>
        <w:t>. 踏勘现场和投标预备会</w:t>
      </w:r>
      <w:bookmarkEnd w:id="57"/>
      <w:bookmarkEnd w:id="58"/>
      <w:bookmarkEnd w:id="59"/>
      <w:bookmarkEnd w:id="60"/>
      <w:bookmarkEnd w:id="61"/>
      <w:bookmarkEnd w:id="62"/>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仿宋_GB2312" w:hAnsi="仿宋_GB2312" w:eastAsia="仿宋_GB2312" w:cs="仿宋_GB2312"/>
          <w:b/>
          <w:i w:val="0"/>
          <w:iCs w:val="0"/>
          <w:kern w:val="0"/>
          <w:szCs w:val="21"/>
          <w:highlight w:val="none"/>
        </w:rPr>
      </w:pPr>
      <w:r>
        <w:rPr>
          <w:rFonts w:hint="eastAsia" w:ascii="仿宋_GB2312" w:hAnsi="仿宋_GB2312" w:eastAsia="仿宋_GB2312" w:cs="仿宋_GB2312"/>
          <w:i w:val="0"/>
          <w:iCs w:val="0"/>
          <w:kern w:val="0"/>
          <w:szCs w:val="21"/>
          <w:highlight w:val="none"/>
        </w:rPr>
        <w:t>招标人定于</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（具体时间） 在</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（踏勘现场集合地点）组织踏勘现场，</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（具体时间）在</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（投标预备会地点）召开投标预备会，投标人可自愿参加，交通工具</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（自备/招标人提供），食宿自理。（</w:t>
      </w:r>
      <w:r>
        <w:rPr>
          <w:rFonts w:hint="eastAsia" w:ascii="仿宋_GB2312" w:hAnsi="仿宋_GB2312" w:eastAsia="仿宋_GB2312" w:cs="仿宋_GB2312"/>
          <w:b/>
          <w:i w:val="0"/>
          <w:iCs w:val="0"/>
          <w:kern w:val="0"/>
          <w:szCs w:val="21"/>
          <w:highlight w:val="none"/>
        </w:rPr>
        <w:t>说明：适用于招标人组织踏勘现场或召开投标预备会的</w:t>
      </w:r>
      <w:r>
        <w:rPr>
          <w:rFonts w:hint="eastAsia" w:ascii="仿宋_GB2312" w:hAnsi="仿宋_GB2312" w:eastAsia="仿宋_GB2312" w:cs="仿宋_GB2312"/>
          <w:i w:val="0"/>
          <w:iCs w:val="0"/>
          <w:kern w:val="0"/>
          <w:szCs w:val="21"/>
          <w:highlight w:val="none"/>
        </w:rPr>
        <w:t>）</w:t>
      </w:r>
    </w:p>
    <w:p>
      <w:pPr>
        <w:pageBreakBefore w:val="0"/>
        <w:widowControl w:val="0"/>
        <w:tabs>
          <w:tab w:val="left" w:pos="360"/>
        </w:tabs>
        <w:kinsoku/>
        <w:wordWrap/>
        <w:overflowPunct/>
        <w:topLinePunct w:val="0"/>
        <w:bidi w:val="0"/>
        <w:snapToGrid/>
        <w:spacing w:line="40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i w:val="0"/>
          <w:iCs w:val="0"/>
          <w:kern w:val="0"/>
          <w:szCs w:val="21"/>
          <w:highlight w:val="none"/>
        </w:rPr>
        <w:t>招标人不组织踏勘现场，不召开投标预备会，</w:t>
      </w:r>
      <w:r>
        <w:rPr>
          <w:rFonts w:hint="eastAsia" w:ascii="仿宋_GB2312" w:hAnsi="仿宋_GB2312" w:eastAsia="仿宋_GB2312" w:cs="仿宋_GB2312"/>
          <w:i w:val="0"/>
          <w:iCs w:val="0"/>
          <w:kern w:val="0"/>
          <w:szCs w:val="21"/>
          <w:highlight w:val="none"/>
          <w:lang w:bidi="ar"/>
        </w:rPr>
        <w:t>投标人可以自行踏勘现场</w:t>
      </w:r>
      <w:r>
        <w:rPr>
          <w:rFonts w:hint="eastAsia" w:ascii="仿宋_GB2312" w:hAnsi="仿宋_GB2312" w:eastAsia="仿宋_GB2312" w:cs="仿宋_GB2312"/>
          <w:i w:val="0"/>
          <w:iCs w:val="0"/>
          <w:kern w:val="0"/>
          <w:szCs w:val="21"/>
          <w:highlight w:val="none"/>
        </w:rPr>
        <w:t>。</w:t>
      </w:r>
      <w:r>
        <w:rPr>
          <w:rFonts w:hint="eastAsia" w:ascii="仿宋_GB2312" w:hAnsi="仿宋_GB2312" w:eastAsia="仿宋_GB2312" w:cs="仿宋_GB2312"/>
          <w:b/>
          <w:i w:val="0"/>
          <w:iCs w:val="0"/>
          <w:kern w:val="0"/>
          <w:szCs w:val="21"/>
          <w:highlight w:val="none"/>
        </w:rPr>
        <w:t>（说明：适用于招标人不组织踏勘现场和召开投标预备会的）</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63" w:name="_Toc300834934"/>
      <w:bookmarkStart w:id="64" w:name="_Toc5496"/>
      <w:r>
        <w:rPr>
          <w:rFonts w:hint="eastAsia" w:ascii="黑体" w:hAnsi="黑体" w:cs="Calibri"/>
          <w:b w:val="0"/>
          <w:bCs w:val="0"/>
          <w:i w:val="0"/>
          <w:iCs w:val="0"/>
          <w:highlight w:val="none"/>
          <w:lang w:val="en-US" w:eastAsia="zh-CN"/>
        </w:rPr>
        <w:t>9</w:t>
      </w:r>
      <w:r>
        <w:rPr>
          <w:rFonts w:hint="eastAsia" w:ascii="黑体" w:hAnsi="黑体" w:cs="Calibri"/>
          <w:b w:val="0"/>
          <w:bCs w:val="0"/>
          <w:i w:val="0"/>
          <w:iCs w:val="0"/>
          <w:highlight w:val="none"/>
        </w:rPr>
        <w:t>. 发布公告的媒介</w:t>
      </w:r>
      <w:bookmarkEnd w:id="63"/>
      <w:bookmarkEnd w:id="64"/>
    </w:p>
    <w:p>
      <w:pPr>
        <w:pageBreakBefore w:val="0"/>
        <w:widowControl w:val="0"/>
        <w:kinsoku/>
        <w:wordWrap/>
        <w:overflowPunct/>
        <w:topLinePunct w:val="0"/>
        <w:bidi w:val="0"/>
        <w:snapToGrid/>
        <w:spacing w:line="440" w:lineRule="exact"/>
        <w:ind w:firstLine="437"/>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本次招标公告同时在</w:t>
      </w:r>
      <w:r>
        <w:rPr>
          <w:rFonts w:hint="eastAsia" w:ascii="仿宋_GB2312" w:hAnsi="宋体" w:eastAsia="仿宋_GB2312" w:cs="楷体"/>
          <w:bCs/>
          <w:i w:val="0"/>
          <w:iCs w:val="0"/>
          <w:snapToGrid w:val="0"/>
          <w:kern w:val="0"/>
          <w:szCs w:val="21"/>
          <w:highlight w:val="none"/>
          <w:u w:val="single"/>
          <w:lang w:eastAsia="zh-CN"/>
        </w:rPr>
        <w:t>《西藏自治区公共资源交易网》</w:t>
      </w:r>
      <w:r>
        <w:rPr>
          <w:rFonts w:hint="eastAsia" w:ascii="仿宋_GB2312" w:hAnsi="宋体" w:eastAsia="仿宋_GB2312" w:cs="楷体"/>
          <w:bCs/>
          <w:i w:val="0"/>
          <w:iCs w:val="0"/>
          <w:snapToGrid w:val="0"/>
          <w:kern w:val="0"/>
          <w:szCs w:val="21"/>
          <w:highlight w:val="none"/>
          <w:u w:val="single"/>
        </w:rPr>
        <w:t>《中国招标投标公共服务平台》</w:t>
      </w:r>
      <w:r>
        <w:rPr>
          <w:rFonts w:hint="eastAsia" w:ascii="仿宋_GB2312" w:hAnsi="宋体" w:eastAsia="仿宋_GB2312" w:cs="楷体"/>
          <w:bCs/>
          <w:i w:val="0"/>
          <w:iCs w:val="0"/>
          <w:snapToGrid w:val="0"/>
          <w:kern w:val="0"/>
          <w:szCs w:val="21"/>
          <w:highlight w:val="none"/>
          <w:u w:val="single"/>
          <w:lang w:eastAsia="zh-CN"/>
        </w:rPr>
        <w:t>《</w:t>
      </w:r>
      <w:r>
        <w:rPr>
          <w:rFonts w:hint="eastAsia" w:ascii="仿宋_GB2312" w:hAnsi="宋体" w:eastAsia="仿宋_GB2312" w:cs="楷体"/>
          <w:bCs/>
          <w:i w:val="0"/>
          <w:iCs w:val="0"/>
          <w:snapToGrid w:val="0"/>
          <w:kern w:val="0"/>
          <w:szCs w:val="21"/>
          <w:highlight w:val="none"/>
          <w:u w:val="single"/>
        </w:rPr>
        <w:t>西藏自治区水利网</w:t>
      </w:r>
      <w:r>
        <w:rPr>
          <w:rFonts w:hint="eastAsia" w:ascii="仿宋_GB2312" w:hAnsi="宋体" w:eastAsia="仿宋_GB2312" w:cs="楷体"/>
          <w:bCs/>
          <w:i w:val="0"/>
          <w:iCs w:val="0"/>
          <w:snapToGrid w:val="0"/>
          <w:kern w:val="0"/>
          <w:szCs w:val="21"/>
          <w:highlight w:val="none"/>
          <w:u w:val="single"/>
          <w:lang w:eastAsia="zh-CN"/>
        </w:rPr>
        <w:t>》</w:t>
      </w:r>
      <w:r>
        <w:rPr>
          <w:rFonts w:hint="eastAsia" w:ascii="仿宋_GB2312" w:hAnsi="宋体" w:eastAsia="仿宋_GB2312" w:cs="楷体"/>
          <w:bCs/>
          <w:i w:val="0"/>
          <w:iCs w:val="0"/>
          <w:snapToGrid w:val="0"/>
          <w:kern w:val="0"/>
          <w:szCs w:val="21"/>
          <w:highlight w:val="none"/>
          <w:u w:val="single"/>
        </w:rPr>
        <w:t>……</w:t>
      </w:r>
      <w:r>
        <w:rPr>
          <w:rFonts w:hint="eastAsia" w:ascii="仿宋_GB2312" w:hAnsi="仿宋_GB2312" w:eastAsia="仿宋_GB2312" w:cs="仿宋_GB2312"/>
          <w:i w:val="0"/>
          <w:iCs w:val="0"/>
          <w:sz w:val="21"/>
          <w:szCs w:val="21"/>
          <w:highlight w:val="none"/>
          <w:u w:val="single"/>
          <w:lang w:val="en-US" w:eastAsia="zh-CN"/>
        </w:rPr>
        <w:t xml:space="preserve"> </w:t>
      </w:r>
      <w:r>
        <w:rPr>
          <w:rFonts w:hint="eastAsia" w:ascii="仿宋_GB2312" w:hAnsi="仿宋_GB2312" w:eastAsia="仿宋_GB2312" w:cs="仿宋_GB2312"/>
          <w:i w:val="0"/>
          <w:iCs w:val="0"/>
          <w:kern w:val="0"/>
          <w:szCs w:val="21"/>
          <w:highlight w:val="none"/>
          <w:u w:val="single"/>
        </w:rPr>
        <w:t>（</w:t>
      </w:r>
      <w:r>
        <w:rPr>
          <w:rFonts w:hint="eastAsia" w:ascii="仿宋_GB2312" w:hAnsi="仿宋_GB2312" w:eastAsia="仿宋_GB2312" w:cs="仿宋_GB2312"/>
          <w:b/>
          <w:i w:val="0"/>
          <w:iCs w:val="0"/>
          <w:kern w:val="0"/>
          <w:szCs w:val="21"/>
          <w:highlight w:val="none"/>
          <w:u w:val="single"/>
        </w:rPr>
        <w:t>说明：发布公告的媒介名称</w:t>
      </w:r>
      <w:r>
        <w:rPr>
          <w:rFonts w:hint="eastAsia" w:ascii="仿宋_GB2312" w:hAnsi="仿宋_GB2312" w:eastAsia="仿宋_GB2312" w:cs="仿宋_GB2312"/>
          <w:i w:val="0"/>
          <w:iCs w:val="0"/>
          <w:kern w:val="0"/>
          <w:szCs w:val="21"/>
          <w:highlight w:val="none"/>
          <w:u w:val="single"/>
        </w:rPr>
        <w:t>）</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i w:val="0"/>
          <w:iCs w:val="0"/>
          <w:highlight w:val="none"/>
        </w:rPr>
        <w:t>上发布。</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65" w:name="_Toc33539261"/>
      <w:bookmarkStart w:id="66" w:name="_Toc30443"/>
      <w:r>
        <w:rPr>
          <w:rFonts w:hint="eastAsia" w:ascii="黑体" w:hAnsi="黑体" w:cs="Calibri"/>
          <w:b w:val="0"/>
          <w:bCs w:val="0"/>
          <w:i w:val="0"/>
          <w:iCs w:val="0"/>
          <w:highlight w:val="none"/>
          <w:lang w:val="en-US" w:eastAsia="zh-CN"/>
        </w:rPr>
        <w:t>10</w:t>
      </w:r>
      <w:r>
        <w:rPr>
          <w:rFonts w:hint="eastAsia" w:ascii="黑体" w:hAnsi="黑体" w:cs="Calibri"/>
          <w:b w:val="0"/>
          <w:bCs w:val="0"/>
          <w:i w:val="0"/>
          <w:iCs w:val="0"/>
          <w:highlight w:val="none"/>
        </w:rPr>
        <w:t>. 注意事项</w:t>
      </w:r>
      <w:bookmarkEnd w:id="65"/>
      <w:bookmarkEnd w:id="66"/>
    </w:p>
    <w:bookmarkEnd w:id="54"/>
    <w:bookmarkEnd w:id="55"/>
    <w:bookmarkEnd w:id="56"/>
    <w:p>
      <w:pPr>
        <w:autoSpaceDE w:val="0"/>
        <w:autoSpaceDN w:val="0"/>
        <w:adjustRightInd w:val="0"/>
        <w:spacing w:line="440" w:lineRule="exact"/>
        <w:ind w:firstLine="462" w:firstLineChars="22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lang w:val="en-US" w:eastAsia="zh-CN"/>
        </w:rPr>
        <w:t>10</w:t>
      </w:r>
      <w:r>
        <w:rPr>
          <w:rFonts w:hint="eastAsia" w:ascii="仿宋_GB2312" w:hAnsi="_x000B__x000C_" w:eastAsia="仿宋_GB2312"/>
          <w:i w:val="0"/>
          <w:iCs w:val="0"/>
          <w:kern w:val="0"/>
          <w:szCs w:val="21"/>
          <w:highlight w:val="none"/>
        </w:rPr>
        <w:t>.1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lang w:val="en-US" w:eastAsia="zh-CN"/>
        </w:rPr>
      </w:pPr>
      <w:r>
        <w:rPr>
          <w:rFonts w:hint="eastAsia" w:ascii="仿宋_GB2312" w:hAnsi="_x000B__x000C_" w:eastAsia="仿宋_GB2312"/>
          <w:i w:val="0"/>
          <w:iCs w:val="0"/>
          <w:kern w:val="0"/>
          <w:szCs w:val="21"/>
          <w:highlight w:val="none"/>
          <w:lang w:val="en-US" w:eastAsia="zh-CN"/>
        </w:rPr>
        <w:t>10.2 投标人在投标时需要上传加密的电子投标文件至电子交易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lang w:val="en-US" w:eastAsia="zh-CN"/>
        </w:rPr>
      </w:pPr>
      <w:r>
        <w:rPr>
          <w:rFonts w:hint="eastAsia" w:ascii="仿宋_GB2312" w:hAnsi="宋体" w:eastAsia="仿宋_GB2312" w:cs="楷体"/>
          <w:bCs/>
          <w:i w:val="0"/>
          <w:iCs w:val="0"/>
          <w:snapToGrid w:val="0"/>
          <w:kern w:val="0"/>
          <w:szCs w:val="21"/>
          <w:highlight w:val="none"/>
          <w:lang w:val="en-US" w:eastAsia="zh-CN"/>
        </w:rPr>
        <w:t>10.3</w:t>
      </w:r>
      <w:r>
        <w:rPr>
          <w:rFonts w:hint="eastAsia" w:ascii="仿宋_GB2312" w:hAnsi="宋体" w:eastAsia="仿宋_GB2312" w:cs="楷体"/>
          <w:bCs/>
          <w:i w:val="0"/>
          <w:iCs w:val="0"/>
          <w:snapToGrid w:val="0"/>
          <w:kern w:val="0"/>
          <w:szCs w:val="21"/>
          <w:highlight w:val="none"/>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pStyle w:val="3"/>
        <w:pageBreakBefore w:val="0"/>
        <w:widowControl/>
        <w:numPr>
          <w:ilvl w:val="-1"/>
          <w:numId w:val="0"/>
        </w:numPr>
        <w:tabs>
          <w:tab w:val="left" w:pos="4205"/>
        </w:tabs>
        <w:kinsoku/>
        <w:wordWrap/>
        <w:overflowPunct/>
        <w:topLinePunct w:val="0"/>
        <w:bidi w:val="0"/>
        <w:adjustRightInd/>
        <w:snapToGrid/>
        <w:spacing w:before="143" w:beforeLines="50" w:after="143" w:afterLines="50" w:line="440" w:lineRule="exact"/>
        <w:jc w:val="left"/>
        <w:textAlignment w:val="auto"/>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lang w:val="en-US" w:eastAsia="zh-CN"/>
        </w:rPr>
        <w:t>10</w:t>
      </w:r>
      <w:r>
        <w:rPr>
          <w:rFonts w:hint="eastAsia" w:ascii="仿宋_GB2312" w:hAnsi="_x000B__x000C_" w:eastAsia="仿宋_GB2312"/>
          <w:i w:val="0"/>
          <w:iCs w:val="0"/>
          <w:kern w:val="0"/>
          <w:szCs w:val="21"/>
          <w:highlight w:val="none"/>
        </w:rPr>
        <w:t>.</w:t>
      </w:r>
      <w:r>
        <w:rPr>
          <w:rFonts w:hint="eastAsia" w:ascii="仿宋_GB2312" w:hAnsi="_x000B__x000C_" w:eastAsia="仿宋_GB2312"/>
          <w:i w:val="0"/>
          <w:iCs w:val="0"/>
          <w:kern w:val="0"/>
          <w:szCs w:val="21"/>
          <w:highlight w:val="none"/>
          <w:lang w:val="en-US" w:eastAsia="zh-CN"/>
        </w:rPr>
        <w:t xml:space="preserve">4 </w:t>
      </w:r>
      <w:r>
        <w:rPr>
          <w:rFonts w:hint="eastAsia" w:ascii="仿宋_GB2312" w:hAnsi="_x000B__x000C_" w:eastAsia="仿宋_GB2312"/>
          <w:i w:val="0"/>
          <w:iCs w:val="0"/>
          <w:kern w:val="0"/>
          <w:szCs w:val="21"/>
          <w:highlight w:val="none"/>
        </w:rPr>
        <w:t>其他：</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i w:val="0"/>
          <w:iCs w:val="0"/>
          <w:kern w:val="0"/>
          <w:szCs w:val="21"/>
          <w:highlight w:val="none"/>
        </w:rPr>
        <w:t>。</w:t>
      </w:r>
      <w:bookmarkStart w:id="67" w:name="_Toc29552"/>
      <w:bookmarkStart w:id="68" w:name="_Toc152045517"/>
      <w:bookmarkStart w:id="69" w:name="_Toc247527541"/>
      <w:bookmarkStart w:id="70" w:name="_Toc144974485"/>
      <w:bookmarkStart w:id="71" w:name="_Toc152042293"/>
      <w:bookmarkStart w:id="72" w:name="_Toc247513940"/>
    </w:p>
    <w:p>
      <w:pPr>
        <w:pStyle w:val="3"/>
        <w:pageBreakBefore w:val="0"/>
        <w:widowControl/>
        <w:numPr>
          <w:ilvl w:val="-1"/>
          <w:numId w:val="0"/>
        </w:numPr>
        <w:tabs>
          <w:tab w:val="left" w:pos="4205"/>
        </w:tabs>
        <w:kinsoku/>
        <w:wordWrap/>
        <w:overflowPunct/>
        <w:topLinePunct w:val="0"/>
        <w:bidi w:val="0"/>
        <w:adjustRightInd/>
        <w:snapToGrid/>
        <w:spacing w:before="143" w:beforeLines="50" w:after="143" w:afterLines="50" w:line="440" w:lineRule="exact"/>
        <w:jc w:val="left"/>
        <w:textAlignment w:val="auto"/>
        <w:rPr>
          <w:rFonts w:hint="eastAsia" w:ascii="黑体" w:hAnsi="黑体" w:cs="Calibri"/>
          <w:b w:val="0"/>
          <w:bCs w:val="0"/>
          <w:i w:val="0"/>
          <w:iCs w:val="0"/>
          <w:highlight w:val="none"/>
        </w:rPr>
      </w:pPr>
      <w:r>
        <w:rPr>
          <w:rFonts w:hint="eastAsia" w:ascii="黑体" w:hAnsi="黑体" w:cs="Calibri"/>
          <w:b w:val="0"/>
          <w:bCs w:val="0"/>
          <w:i w:val="0"/>
          <w:iCs w:val="0"/>
          <w:highlight w:val="none"/>
          <w:lang w:val="en-US" w:eastAsia="zh-CN"/>
        </w:rPr>
        <w:t>11.</w:t>
      </w:r>
      <w:r>
        <w:rPr>
          <w:rFonts w:hint="eastAsia" w:ascii="黑体" w:hAnsi="黑体" w:cs="Calibri"/>
          <w:b w:val="0"/>
          <w:bCs w:val="0"/>
          <w:i w:val="0"/>
          <w:iCs w:val="0"/>
          <w:highlight w:val="none"/>
        </w:rPr>
        <w:t>联系方式</w:t>
      </w:r>
      <w:bookmarkEnd w:id="67"/>
      <w:bookmarkEnd w:id="68"/>
      <w:bookmarkEnd w:id="69"/>
      <w:bookmarkEnd w:id="70"/>
      <w:bookmarkEnd w:id="71"/>
      <w:bookmarkEnd w:id="72"/>
    </w:p>
    <w:p>
      <w:pPr>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招 标 人：</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地    址：</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邮    编：</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联 系 人：</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37"/>
        <w:textAlignment w:val="auto"/>
        <w:rPr>
          <w:rFonts w:hint="default" w:ascii="仿宋_GB2312" w:hAnsi="仿宋_GB2312" w:eastAsia="仿宋_GB2312" w:cs="仿宋_GB2312"/>
          <w:i w:val="0"/>
          <w:iCs w:val="0"/>
          <w:highlight w:val="none"/>
          <w:lang w:val="en-US" w:eastAsia="zh-CN"/>
        </w:rPr>
      </w:pPr>
      <w:r>
        <w:rPr>
          <w:rFonts w:hint="eastAsia" w:ascii="仿宋_GB2312" w:hAnsi="仿宋_GB2312" w:eastAsia="仿宋_GB2312" w:cs="仿宋_GB2312"/>
          <w:i w:val="0"/>
          <w:iCs w:val="0"/>
          <w:highlight w:val="none"/>
        </w:rPr>
        <w:t>电    话：</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招标代理机构：</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地    址：</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邮    编：</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联 系 人：</w:t>
      </w:r>
      <w:r>
        <w:rPr>
          <w:rFonts w:hint="eastAsia" w:ascii="仿宋_GB2312" w:hAnsi="仿宋_GB2312" w:eastAsia="仿宋_GB2312" w:cs="仿宋_GB2312"/>
          <w:i w:val="0"/>
          <w:iCs w:val="0"/>
          <w:highlight w:val="none"/>
          <w:u w:val="single"/>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电    话：</w:t>
      </w:r>
      <w:r>
        <w:rPr>
          <w:rFonts w:hint="eastAsia" w:ascii="仿宋_GB2312" w:hAnsi="仿宋_GB2312" w:eastAsia="仿宋_GB2312" w:cs="仿宋_GB2312"/>
          <w:i w:val="0"/>
          <w:iCs w:val="0"/>
          <w:highlight w:val="none"/>
          <w:u w:val="single"/>
        </w:rPr>
        <w:t xml:space="preserve">                            </w:t>
      </w:r>
    </w:p>
    <w:p>
      <w:pPr>
        <w:pStyle w:val="3"/>
        <w:pageBreakBefore w:val="0"/>
        <w:widowControl/>
        <w:numPr>
          <w:ilvl w:val="-1"/>
          <w:numId w:val="0"/>
        </w:numPr>
        <w:tabs>
          <w:tab w:val="left" w:pos="4205"/>
        </w:tabs>
        <w:kinsoku/>
        <w:wordWrap/>
        <w:overflowPunct/>
        <w:topLinePunct w:val="0"/>
        <w:autoSpaceDE/>
        <w:autoSpaceDN/>
        <w:bidi w:val="0"/>
        <w:spacing w:before="143" w:beforeLines="50" w:after="143" w:afterLines="50" w:line="440" w:lineRule="exact"/>
        <w:jc w:val="both"/>
        <w:textAlignment w:val="auto"/>
        <w:rPr>
          <w:rFonts w:hint="eastAsia" w:ascii="黑体" w:hAnsi="黑体" w:eastAsia="黑体" w:cs="Calibri"/>
          <w:b w:val="0"/>
          <w:bCs w:val="0"/>
          <w:i w:val="0"/>
          <w:iCs w:val="0"/>
          <w:sz w:val="32"/>
          <w:szCs w:val="32"/>
          <w:highlight w:val="none"/>
          <w:lang w:val="en-US" w:eastAsia="zh-CN"/>
        </w:rPr>
      </w:pPr>
      <w:r>
        <w:rPr>
          <w:rFonts w:hint="eastAsia" w:ascii="黑体" w:hAnsi="黑体" w:cs="Calibri"/>
          <w:b w:val="0"/>
          <w:bCs w:val="0"/>
          <w:i w:val="0"/>
          <w:iCs w:val="0"/>
          <w:kern w:val="2"/>
          <w:sz w:val="32"/>
          <w:szCs w:val="32"/>
          <w:highlight w:val="none"/>
          <w:lang w:val="en-US" w:eastAsia="zh-CN" w:bidi="ar-SA"/>
        </w:rPr>
        <w:t>12.</w:t>
      </w:r>
      <w:r>
        <w:rPr>
          <w:rFonts w:hint="eastAsia" w:ascii="黑体" w:hAnsi="黑体" w:eastAsia="黑体" w:cs="Calibri"/>
          <w:b w:val="0"/>
          <w:bCs w:val="0"/>
          <w:i w:val="0"/>
          <w:iCs w:val="0"/>
          <w:kern w:val="2"/>
          <w:sz w:val="32"/>
          <w:szCs w:val="32"/>
          <w:highlight w:val="none"/>
          <w:lang w:val="en-US" w:eastAsia="zh-CN" w:bidi="ar-SA"/>
        </w:rPr>
        <w:t>受理</w:t>
      </w:r>
      <w:r>
        <w:rPr>
          <w:rFonts w:hint="eastAsia" w:ascii="黑体" w:hAnsi="黑体" w:eastAsia="黑体" w:cs="Calibri"/>
          <w:b w:val="0"/>
          <w:bCs w:val="0"/>
          <w:i w:val="0"/>
          <w:iCs w:val="0"/>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highlight w:val="none"/>
          <w:u w:val="single"/>
        </w:rPr>
      </w:pPr>
    </w:p>
    <w:p>
      <w:pPr>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年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pStyle w:val="2"/>
        <w:pageBreakBefore w:val="0"/>
        <w:widowControl w:val="0"/>
        <w:kinsoku/>
        <w:wordWrap/>
        <w:overflowPunct/>
        <w:topLinePunct w:val="0"/>
        <w:autoSpaceDE/>
        <w:autoSpaceDN/>
        <w:bidi w:val="0"/>
        <w:adjustRightInd/>
        <w:snapToGrid/>
        <w:spacing w:before="0" w:after="0" w:line="500" w:lineRule="exact"/>
        <w:jc w:val="center"/>
        <w:textAlignment w:val="auto"/>
        <w:rPr>
          <w:i w:val="0"/>
          <w:iCs w:val="0"/>
          <w:highlight w:val="none"/>
        </w:rPr>
      </w:pPr>
      <w:r>
        <w:rPr>
          <w:i w:val="0"/>
          <w:iCs w:val="0"/>
          <w:highlight w:val="none"/>
        </w:rPr>
        <w:br w:type="page"/>
      </w:r>
      <w:bookmarkStart w:id="73" w:name="_Toc247527542"/>
      <w:bookmarkStart w:id="74" w:name="_Toc152045518"/>
      <w:bookmarkStart w:id="75" w:name="_Toc144974486"/>
      <w:bookmarkStart w:id="76" w:name="_Toc2290"/>
      <w:bookmarkStart w:id="77" w:name="_Toc247513941"/>
      <w:bookmarkStart w:id="78" w:name="_Toc152042294"/>
      <w:r>
        <w:rPr>
          <w:rFonts w:hint="eastAsia" w:ascii="黑体" w:hAnsi="黑体" w:eastAsia="黑体" w:cs="黑体"/>
          <w:b w:val="0"/>
          <w:bCs w:val="0"/>
          <w:i w:val="0"/>
          <w:iCs w:val="0"/>
          <w:highlight w:val="none"/>
        </w:rPr>
        <w:t>第一章 投标邀请书（适用于邀请招标）</w:t>
      </w:r>
      <w:bookmarkEnd w:id="73"/>
      <w:bookmarkEnd w:id="74"/>
      <w:bookmarkEnd w:id="75"/>
      <w:bookmarkEnd w:id="76"/>
      <w:bookmarkEnd w:id="77"/>
      <w:bookmarkEnd w:id="78"/>
    </w:p>
    <w:p>
      <w:pPr>
        <w:pageBreakBefore w:val="0"/>
        <w:widowControl w:val="0"/>
        <w:kinsoku/>
        <w:wordWrap/>
        <w:overflowPunct/>
        <w:topLinePunct w:val="0"/>
        <w:bidi w:val="0"/>
        <w:snapToGrid/>
        <w:spacing w:line="440" w:lineRule="exact"/>
        <w:jc w:val="center"/>
        <w:textAlignment w:val="auto"/>
        <w:rPr>
          <w:rFonts w:hint="eastAsia" w:eastAsia="黑体"/>
          <w:i w:val="0"/>
          <w:iCs w:val="0"/>
          <w:sz w:val="28"/>
          <w:szCs w:val="28"/>
          <w:highlight w:val="none"/>
          <w:u w:val="single"/>
        </w:rPr>
      </w:pPr>
    </w:p>
    <w:p>
      <w:pPr>
        <w:pageBreakBefore w:val="0"/>
        <w:widowControl w:val="0"/>
        <w:kinsoku/>
        <w:wordWrap/>
        <w:overflowPunct/>
        <w:topLinePunct w:val="0"/>
        <w:bidi w:val="0"/>
        <w:snapToGrid/>
        <w:spacing w:line="440" w:lineRule="exact"/>
        <w:jc w:val="center"/>
        <w:textAlignment w:val="auto"/>
        <w:rPr>
          <w:rFonts w:eastAsia="黑体"/>
          <w:i w:val="0"/>
          <w:iCs w:val="0"/>
          <w:sz w:val="28"/>
          <w:szCs w:val="28"/>
          <w:highlight w:val="none"/>
        </w:rPr>
      </w:pPr>
      <w:r>
        <w:rPr>
          <w:rFonts w:hint="eastAsia" w:eastAsia="黑体"/>
          <w:i w:val="0"/>
          <w:iCs w:val="0"/>
          <w:sz w:val="28"/>
          <w:szCs w:val="28"/>
          <w:highlight w:val="none"/>
          <w:u w:val="single"/>
        </w:rPr>
        <w:t xml:space="preserve">            </w:t>
      </w:r>
      <w:r>
        <w:rPr>
          <w:rFonts w:eastAsia="黑体"/>
          <w:i w:val="0"/>
          <w:iCs w:val="0"/>
          <w:sz w:val="28"/>
          <w:szCs w:val="28"/>
          <w:highlight w:val="none"/>
        </w:rPr>
        <w:t>（项目名称）</w:t>
      </w:r>
      <w:r>
        <w:rPr>
          <w:rFonts w:hint="eastAsia" w:ascii="黑体" w:hAnsi="黑体" w:eastAsia="黑体"/>
          <w:b w:val="0"/>
          <w:bCs w:val="0"/>
          <w:i w:val="0"/>
          <w:iCs w:val="0"/>
          <w:sz w:val="28"/>
          <w:szCs w:val="28"/>
          <w:highlight w:val="none"/>
          <w:u w:val="single"/>
        </w:rPr>
        <w:t xml:space="preserve">      </w:t>
      </w:r>
      <w:r>
        <w:rPr>
          <w:rFonts w:hint="eastAsia" w:ascii="黑体" w:hAnsi="黑体" w:eastAsia="黑体"/>
          <w:b w:val="0"/>
          <w:bCs w:val="0"/>
          <w:i w:val="0"/>
          <w:iCs w:val="0"/>
          <w:sz w:val="28"/>
          <w:szCs w:val="28"/>
          <w:highlight w:val="none"/>
        </w:rPr>
        <w:t>（标段名称）</w:t>
      </w:r>
      <w:r>
        <w:rPr>
          <w:rFonts w:eastAsia="黑体"/>
          <w:i w:val="0"/>
          <w:iCs w:val="0"/>
          <w:sz w:val="28"/>
          <w:szCs w:val="28"/>
          <w:highlight w:val="none"/>
        </w:rPr>
        <w:t>投标邀请书</w:t>
      </w:r>
    </w:p>
    <w:p>
      <w:pPr>
        <w:pageBreakBefore w:val="0"/>
        <w:widowControl w:val="0"/>
        <w:kinsoku/>
        <w:wordWrap/>
        <w:overflowPunct/>
        <w:topLinePunct w:val="0"/>
        <w:bidi w:val="0"/>
        <w:snapToGrid/>
        <w:spacing w:line="440" w:lineRule="exact"/>
        <w:textAlignment w:val="auto"/>
        <w:rPr>
          <w:rFonts w:eastAsia="黑体"/>
          <w:i w:val="0"/>
          <w:iCs w:val="0"/>
          <w:sz w:val="27"/>
          <w:szCs w:val="27"/>
          <w:highlight w:val="none"/>
          <w:u w:val="single"/>
        </w:rPr>
      </w:pPr>
    </w:p>
    <w:p>
      <w:pPr>
        <w:pageBreakBefore w:val="0"/>
        <w:widowControl w:val="0"/>
        <w:kinsoku/>
        <w:wordWrap/>
        <w:overflowPunct/>
        <w:topLinePunct w:val="0"/>
        <w:bidi w:val="0"/>
        <w:snapToGrid/>
        <w:spacing w:line="400" w:lineRule="exac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（被邀请单位名称）：</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79" w:name="_Toc247527543"/>
      <w:bookmarkStart w:id="80" w:name="_Toc152042295"/>
      <w:bookmarkStart w:id="81" w:name="_Toc144974487"/>
      <w:bookmarkStart w:id="82" w:name="_Toc152045519"/>
      <w:bookmarkStart w:id="83" w:name="_Toc7723"/>
      <w:bookmarkStart w:id="84" w:name="_Toc247513942"/>
      <w:r>
        <w:rPr>
          <w:rFonts w:hint="eastAsia" w:ascii="黑体" w:hAnsi="黑体" w:cs="Calibri"/>
          <w:b w:val="0"/>
          <w:bCs w:val="0"/>
          <w:i w:val="0"/>
          <w:iCs w:val="0"/>
          <w:highlight w:val="none"/>
        </w:rPr>
        <w:t>1. 招标条件</w:t>
      </w:r>
      <w:bookmarkEnd w:id="79"/>
      <w:bookmarkEnd w:id="80"/>
      <w:bookmarkEnd w:id="81"/>
      <w:bookmarkEnd w:id="82"/>
      <w:bookmarkEnd w:id="83"/>
      <w:bookmarkEnd w:id="84"/>
    </w:p>
    <w:p>
      <w:pPr>
        <w:pageBreakBefore w:val="0"/>
        <w:widowControl w:val="0"/>
        <w:kinsoku/>
        <w:wordWrap/>
        <w:overflowPunct/>
        <w:topLinePunct w:val="0"/>
        <w:bidi w:val="0"/>
        <w:snapToGrid/>
        <w:spacing w:line="440" w:lineRule="exac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本招标项目</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（项目名称）已由</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（项目审批</w:t>
      </w:r>
      <w:r>
        <w:rPr>
          <w:rFonts w:hint="eastAsia" w:ascii="仿宋_GB2312" w:hAnsi="仿宋_GB2312" w:eastAsia="仿宋_GB2312" w:cs="仿宋_GB2312"/>
          <w:i w:val="0"/>
          <w:iCs w:val="0"/>
          <w:szCs w:val="21"/>
          <w:highlight w:val="none"/>
          <w:lang w:eastAsia="zh-CN"/>
        </w:rPr>
        <w:t>，</w:t>
      </w:r>
      <w:r>
        <w:rPr>
          <w:rFonts w:hint="eastAsia" w:ascii="仿宋_GB2312" w:hAnsi="仿宋_GB2312" w:eastAsia="仿宋_GB2312" w:cs="仿宋_GB2312"/>
          <w:i w:val="0"/>
          <w:iCs w:val="0"/>
          <w:szCs w:val="21"/>
          <w:highlight w:val="none"/>
        </w:rPr>
        <w:t>核准或备案机关名称）以</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（批文名称及编号）批准建设，建设资金来自</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（资金来源），</w:t>
      </w:r>
      <w:r>
        <w:rPr>
          <w:rFonts w:hint="eastAsia" w:ascii="仿宋_GB2312" w:hAnsi="仿宋_GB2312" w:eastAsia="仿宋_GB2312" w:cs="仿宋_GB2312"/>
          <w:i w:val="0"/>
          <w:iCs w:val="0"/>
          <w:szCs w:val="21"/>
          <w:highlight w:val="none"/>
          <w:lang w:eastAsia="zh-CN"/>
        </w:rPr>
        <w:t>项目</w:t>
      </w:r>
      <w:r>
        <w:rPr>
          <w:rFonts w:hint="eastAsia" w:ascii="仿宋_GB2312" w:hAnsi="仿宋_GB2312" w:eastAsia="仿宋_GB2312" w:cs="仿宋_GB2312"/>
          <w:i w:val="0"/>
          <w:iCs w:val="0"/>
          <w:szCs w:val="21"/>
          <w:highlight w:val="none"/>
        </w:rPr>
        <w:t>出资比例为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w:t>
      </w:r>
      <w:r>
        <w:rPr>
          <w:rFonts w:hint="eastAsia" w:ascii="仿宋_GB2312" w:hAnsi="仿宋_GB2312" w:eastAsia="仿宋_GB2312" w:cs="仿宋_GB2312"/>
          <w:i w:val="0"/>
          <w:iCs w:val="0"/>
          <w:szCs w:val="21"/>
          <w:highlight w:val="none"/>
          <w:lang w:eastAsia="zh-CN"/>
        </w:rPr>
        <w:t>法人</w:t>
      </w:r>
      <w:r>
        <w:rPr>
          <w:rFonts w:hint="eastAsia" w:ascii="仿宋_GB2312" w:hAnsi="仿宋_GB2312" w:eastAsia="仿宋_GB2312" w:cs="仿宋_GB2312"/>
          <w:i w:val="0"/>
          <w:iCs w:val="0"/>
          <w:szCs w:val="21"/>
          <w:highlight w:val="none"/>
        </w:rPr>
        <w:t>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，招标人为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lang w:eastAsia="zh-CN"/>
        </w:rPr>
        <w:t>，</w:t>
      </w:r>
      <w:r>
        <w:rPr>
          <w:rFonts w:hint="eastAsia" w:ascii="仿宋_GB2312" w:hAnsi="_x000B__x000C_" w:eastAsia="仿宋_GB2312"/>
          <w:i w:val="0"/>
          <w:iCs w:val="0"/>
          <w:szCs w:val="21"/>
          <w:highlight w:val="none"/>
        </w:rPr>
        <w:t>招标代理机构为</w:t>
      </w:r>
      <w:r>
        <w:rPr>
          <w:rFonts w:hint="eastAsia" w:ascii="仿宋_GB2312" w:hAnsi="_x000B__x000C_" w:eastAsia="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。项目已具备招标条件，现邀请你单位参加</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（项目名称）项目管理总承包（PMC）投标。</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85" w:name="_Toc144974488"/>
      <w:bookmarkStart w:id="86" w:name="_Toc152042296"/>
      <w:bookmarkStart w:id="87" w:name="_Toc247513943"/>
      <w:bookmarkStart w:id="88" w:name="_Toc152045520"/>
      <w:bookmarkStart w:id="89" w:name="_Toc247527544"/>
      <w:bookmarkStart w:id="90" w:name="_Toc14456"/>
      <w:r>
        <w:rPr>
          <w:rFonts w:hint="eastAsia" w:ascii="黑体" w:hAnsi="黑体" w:cs="Calibri"/>
          <w:b w:val="0"/>
          <w:bCs w:val="0"/>
          <w:i w:val="0"/>
          <w:iCs w:val="0"/>
          <w:highlight w:val="none"/>
        </w:rPr>
        <w:t>2. 项目概况与招标范围</w:t>
      </w:r>
      <w:bookmarkEnd w:id="85"/>
      <w:bookmarkEnd w:id="86"/>
      <w:bookmarkEnd w:id="87"/>
      <w:bookmarkEnd w:id="88"/>
      <w:bookmarkEnd w:id="89"/>
      <w:bookmarkEnd w:id="90"/>
    </w:p>
    <w:p>
      <w:pPr>
        <w:pageBreakBefore w:val="0"/>
        <w:widowControl w:val="0"/>
        <w:kinsoku/>
        <w:wordWrap/>
        <w:overflowPunct/>
        <w:topLinePunct w:val="0"/>
        <w:bidi w:val="0"/>
        <w:snapToGrid/>
        <w:spacing w:line="44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2.1 工程概况</w:t>
      </w:r>
    </w:p>
    <w:p>
      <w:pPr>
        <w:pageBreakBefore w:val="0"/>
        <w:widowControl w:val="0"/>
        <w:kinsoku/>
        <w:wordWrap/>
        <w:overflowPunct/>
        <w:topLinePunct w:val="0"/>
        <w:bidi w:val="0"/>
        <w:snapToGrid/>
        <w:spacing w:line="440" w:lineRule="exact"/>
        <w:ind w:firstLine="420" w:firstLineChars="200"/>
        <w:textAlignment w:val="auto"/>
        <w:rPr>
          <w:rFonts w:hint="eastAsia" w:ascii="仿宋_GB2312" w:hAnsi="仿宋_GB2312" w:eastAsia="仿宋_GB2312" w:cs="仿宋_GB2312"/>
          <w:b/>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b/>
          <w:i w:val="0"/>
          <w:iCs w:val="0"/>
          <w:szCs w:val="21"/>
          <w:highlight w:val="none"/>
          <w:u w:val="single"/>
        </w:rPr>
        <w:t>（</w:t>
      </w:r>
      <w:r>
        <w:rPr>
          <w:rFonts w:hint="eastAsia" w:ascii="仿宋_GB2312" w:hAnsi="仿宋_GB2312" w:eastAsia="仿宋_GB2312" w:cs="仿宋_GB2312"/>
          <w:b/>
          <w:i w:val="0"/>
          <w:iCs w:val="0"/>
          <w:szCs w:val="21"/>
          <w:highlight w:val="none"/>
        </w:rPr>
        <w:t>说明：本次招标项目的建设地点、规模及标准、计划工期、功能需求</w:t>
      </w:r>
      <w:r>
        <w:rPr>
          <w:rFonts w:hint="eastAsia" w:ascii="仿宋_GB2312" w:hAnsi="仿宋_GB2312" w:eastAsia="仿宋_GB2312" w:cs="仿宋_GB2312"/>
          <w:i w:val="0"/>
          <w:iCs w:val="0"/>
          <w:szCs w:val="21"/>
          <w:highlight w:val="none"/>
        </w:rPr>
        <w:t>等</w:t>
      </w:r>
      <w:r>
        <w:rPr>
          <w:rFonts w:hint="eastAsia" w:ascii="仿宋_GB2312" w:hAnsi="仿宋_GB2312" w:eastAsia="仿宋_GB2312" w:cs="仿宋_GB2312"/>
          <w:b/>
          <w:i w:val="0"/>
          <w:iCs w:val="0"/>
          <w:szCs w:val="21"/>
          <w:highlight w:val="none"/>
        </w:rPr>
        <w:t>）</w:t>
      </w:r>
    </w:p>
    <w:p>
      <w:pPr>
        <w:pageBreakBefore w:val="0"/>
        <w:widowControl w:val="0"/>
        <w:kinsoku/>
        <w:wordWrap/>
        <w:overflowPunct/>
        <w:topLinePunct w:val="0"/>
        <w:bidi w:val="0"/>
        <w:snapToGrid/>
        <w:spacing w:line="44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2.2 招标范围</w:t>
      </w:r>
    </w:p>
    <w:p>
      <w:pPr>
        <w:pageBreakBefore w:val="0"/>
        <w:widowControl w:val="0"/>
        <w:kinsoku/>
        <w:wordWrap/>
        <w:overflowPunct/>
        <w:topLinePunct w:val="0"/>
        <w:bidi w:val="0"/>
        <w:snapToGrid/>
        <w:spacing w:line="440" w:lineRule="exact"/>
        <w:ind w:firstLine="421"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b/>
          <w:i w:val="0"/>
          <w:iCs w:val="0"/>
          <w:szCs w:val="21"/>
          <w:highlight w:val="none"/>
        </w:rPr>
        <w:t>（说明：叙述采购、施工等主要内容及是否需要项目管理总承包（PMC）单位进行联合试运行、人员培训、项目法人单位需要开展的各项验收组织、工程移交等工作内容。）</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91" w:name="_Toc247527545"/>
      <w:bookmarkStart w:id="92" w:name="_Toc2581"/>
      <w:bookmarkStart w:id="93" w:name="_Toc144974489"/>
      <w:bookmarkStart w:id="94" w:name="_Toc247513944"/>
      <w:bookmarkStart w:id="95" w:name="_Toc152042297"/>
      <w:bookmarkStart w:id="96" w:name="_Toc152045521"/>
      <w:r>
        <w:rPr>
          <w:rFonts w:hint="eastAsia" w:ascii="黑体" w:hAnsi="黑体" w:cs="Calibri"/>
          <w:b w:val="0"/>
          <w:bCs w:val="0"/>
          <w:i w:val="0"/>
          <w:iCs w:val="0"/>
          <w:highlight w:val="none"/>
        </w:rPr>
        <w:t>3. 投标人资格要求</w:t>
      </w:r>
      <w:bookmarkEnd w:id="91"/>
      <w:bookmarkEnd w:id="92"/>
      <w:bookmarkEnd w:id="93"/>
      <w:bookmarkEnd w:id="94"/>
      <w:bookmarkEnd w:id="95"/>
      <w:bookmarkEnd w:id="96"/>
    </w:p>
    <w:p>
      <w:pPr>
        <w:pageBreakBefore w:val="0"/>
        <w:widowControl w:val="0"/>
        <w:kinsoku/>
        <w:wordWrap/>
        <w:overflowPunct/>
        <w:topLinePunct w:val="0"/>
        <w:bidi w:val="0"/>
        <w:snapToGrid/>
        <w:spacing w:line="44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3.1 本次招标要求投标人须具备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资质，</w:t>
      </w:r>
      <w:r>
        <w:rPr>
          <w:rFonts w:hint="eastAsia" w:ascii="仿宋_GB2312" w:hAnsi="仿宋_GB2312" w:eastAsia="仿宋_GB2312" w:cs="仿宋_GB2312"/>
          <w:i w:val="0"/>
          <w:iCs w:val="0"/>
          <w:szCs w:val="21"/>
          <w:highlight w:val="none"/>
          <w:u w:val="single"/>
          <w:lang w:val="en-US" w:eastAsia="zh-CN"/>
        </w:rPr>
        <w:t xml:space="preserve">       </w:t>
      </w:r>
      <w:r>
        <w:rPr>
          <w:rFonts w:hint="eastAsia" w:ascii="仿宋_GB2312" w:hAnsi="仿宋_GB2312" w:eastAsia="仿宋_GB2312" w:cs="仿宋_GB2312"/>
          <w:i w:val="0"/>
          <w:iCs w:val="0"/>
          <w:szCs w:val="21"/>
          <w:highlight w:val="none"/>
        </w:rPr>
        <w:t>业绩，并在人员、设备、资金等方面具有相应的</w:t>
      </w:r>
      <w:r>
        <w:rPr>
          <w:rFonts w:hint="eastAsia" w:ascii="仿宋_GB2312" w:hAnsi="仿宋_GB2312" w:eastAsia="仿宋_GB2312" w:cs="仿宋_GB2312"/>
          <w:i w:val="0"/>
          <w:iCs w:val="0"/>
          <w:szCs w:val="21"/>
          <w:highlight w:val="none"/>
          <w:lang w:eastAsia="zh-CN"/>
        </w:rPr>
        <w:t>项目管理</w:t>
      </w:r>
      <w:r>
        <w:rPr>
          <w:rFonts w:hint="eastAsia" w:ascii="仿宋_GB2312" w:hAnsi="仿宋_GB2312" w:eastAsia="仿宋_GB2312" w:cs="仿宋_GB2312"/>
          <w:i w:val="0"/>
          <w:iCs w:val="0"/>
          <w:szCs w:val="21"/>
          <w:highlight w:val="none"/>
        </w:rPr>
        <w:t>总承包能力。</w:t>
      </w:r>
    </w:p>
    <w:p>
      <w:pPr>
        <w:pageBreakBefore w:val="0"/>
        <w:widowControl w:val="0"/>
        <w:kinsoku/>
        <w:wordWrap/>
        <w:overflowPunct/>
        <w:topLinePunct w:val="0"/>
        <w:bidi w:val="0"/>
        <w:snapToGrid/>
        <w:spacing w:line="44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3.2 本次招标</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（接受或不接受）联合体投标。联合体投标的，应满足下列要求：</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pageBreakBefore w:val="0"/>
        <w:widowControl w:val="0"/>
        <w:kinsoku/>
        <w:wordWrap/>
        <w:overflowPunct/>
        <w:topLinePunct w:val="0"/>
        <w:bidi w:val="0"/>
        <w:snapToGrid/>
        <w:spacing w:line="440" w:lineRule="exact"/>
        <w:ind w:firstLine="420" w:firstLineChars="200"/>
        <w:jc w:val="lef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3.3 投标人在《</w:t>
      </w:r>
      <w:r>
        <w:rPr>
          <w:rFonts w:hint="eastAsia" w:ascii="仿宋_GB2312" w:hAnsi="仿宋_GB2312" w:eastAsia="仿宋_GB2312" w:cs="仿宋_GB2312"/>
          <w:i w:val="0"/>
          <w:iCs w:val="0"/>
          <w:szCs w:val="21"/>
          <w:highlight w:val="none"/>
          <w:lang w:eastAsia="zh-CN"/>
        </w:rPr>
        <w:t>全国</w:t>
      </w:r>
      <w:r>
        <w:rPr>
          <w:rFonts w:hint="eastAsia" w:ascii="仿宋_GB2312" w:hAnsi="仿宋_GB2312" w:eastAsia="仿宋_GB2312" w:cs="仿宋_GB2312"/>
          <w:i w:val="0"/>
          <w:iCs w:val="0"/>
          <w:szCs w:val="21"/>
          <w:highlight w:val="none"/>
        </w:rPr>
        <w:t>水利建设市场监管平台》企业信息完整度应达到85%及以上，提供网络截图。</w:t>
      </w:r>
    </w:p>
    <w:p>
      <w:pPr>
        <w:pageBreakBefore w:val="0"/>
        <w:widowControl w:val="0"/>
        <w:kinsoku/>
        <w:wordWrap/>
        <w:overflowPunct/>
        <w:topLinePunct w:val="0"/>
        <w:bidi w:val="0"/>
        <w:snapToGrid/>
        <w:spacing w:line="440" w:lineRule="exact"/>
        <w:ind w:firstLine="420" w:firstLineChars="200"/>
        <w:jc w:val="lef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3.4 本次招标实行资格后审，资格审查的具体要求见招标文件。资格后审不合格的投标人投标文件将被否决。</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97" w:name="_Toc152042298"/>
      <w:bookmarkStart w:id="98" w:name="_Toc144974490"/>
      <w:bookmarkStart w:id="99" w:name="_Toc26719"/>
      <w:bookmarkStart w:id="100" w:name="_Toc247513945"/>
      <w:bookmarkStart w:id="101" w:name="_Toc247527546"/>
      <w:bookmarkStart w:id="102" w:name="_Toc152045522"/>
      <w:r>
        <w:rPr>
          <w:rFonts w:hint="eastAsia" w:ascii="黑体" w:hAnsi="黑体" w:cs="Calibri"/>
          <w:b w:val="0"/>
          <w:bCs w:val="0"/>
          <w:i w:val="0"/>
          <w:iCs w:val="0"/>
          <w:highlight w:val="none"/>
        </w:rPr>
        <w:t>4. 招标文件的获取</w:t>
      </w:r>
      <w:bookmarkEnd w:id="97"/>
      <w:bookmarkEnd w:id="98"/>
      <w:bookmarkEnd w:id="99"/>
      <w:bookmarkEnd w:id="100"/>
      <w:bookmarkEnd w:id="101"/>
      <w:bookmarkEnd w:id="102"/>
    </w:p>
    <w:p>
      <w:pPr>
        <w:pageBreakBefore w:val="0"/>
        <w:widowControl w:val="0"/>
        <w:kinsoku/>
        <w:wordWrap/>
        <w:overflowPunct/>
        <w:topLinePunct w:val="0"/>
        <w:bidi w:val="0"/>
        <w:snapToGrid/>
        <w:spacing w:line="440" w:lineRule="exact"/>
        <w:ind w:firstLine="437"/>
        <w:textAlignment w:val="auto"/>
        <w:rPr>
          <w:rFonts w:hint="eastAsia" w:ascii="仿宋_GB2312" w:hAnsi="仿宋_GB2312" w:eastAsia="仿宋_GB2312" w:cs="仿宋_GB2312"/>
          <w:bCs/>
          <w:i w:val="0"/>
          <w:iCs w:val="0"/>
          <w:snapToGrid w:val="0"/>
          <w:kern w:val="0"/>
          <w:szCs w:val="21"/>
          <w:highlight w:val="none"/>
        </w:rPr>
      </w:pPr>
      <w:bookmarkStart w:id="103" w:name="_Toc247513946"/>
      <w:bookmarkStart w:id="104" w:name="_Toc144974491"/>
      <w:bookmarkStart w:id="105" w:name="_Toc152045523"/>
      <w:bookmarkStart w:id="106" w:name="_Toc152042299"/>
      <w:bookmarkStart w:id="107" w:name="_Toc247527547"/>
      <w:r>
        <w:rPr>
          <w:rFonts w:hint="eastAsia" w:ascii="仿宋_GB2312" w:hAnsi="仿宋_GB2312" w:eastAsia="仿宋_GB2312" w:cs="仿宋_GB2312"/>
          <w:bCs/>
          <w:i w:val="0"/>
          <w:iCs w:val="0"/>
          <w:snapToGrid w:val="0"/>
          <w:kern w:val="0"/>
          <w:szCs w:val="21"/>
          <w:highlight w:val="none"/>
        </w:rPr>
        <w:t>4.1获取时间：</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年</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月</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日至</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年</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月</w:t>
      </w:r>
      <w:r>
        <w:rPr>
          <w:rFonts w:hint="eastAsia" w:ascii="仿宋_GB2312" w:hAnsi="仿宋_GB2312" w:eastAsia="仿宋_GB2312" w:cs="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snapToGrid w:val="0"/>
          <w:kern w:val="0"/>
          <w:szCs w:val="21"/>
          <w:highlight w:val="none"/>
        </w:rPr>
        <w:t>日。</w:t>
      </w:r>
    </w:p>
    <w:p>
      <w:pPr>
        <w:spacing w:line="440" w:lineRule="exact"/>
        <w:ind w:firstLine="437"/>
        <w:rPr>
          <w:rFonts w:hint="eastAsia" w:ascii="仿宋_GB2312" w:hAnsi="仿宋" w:eastAsia="仿宋_GB2312"/>
          <w:bCs/>
          <w:i w:val="0"/>
          <w:iCs w:val="0"/>
          <w:snapToGrid w:val="0"/>
          <w:kern w:val="0"/>
          <w:szCs w:val="21"/>
          <w:highlight w:val="none"/>
        </w:rPr>
      </w:pPr>
      <w:r>
        <w:rPr>
          <w:rFonts w:hint="eastAsia" w:ascii="仿宋_GB2312" w:hAnsi="_x000B__x000C_" w:eastAsia="仿宋_GB2312"/>
          <w:i w:val="0"/>
          <w:iCs w:val="0"/>
          <w:szCs w:val="21"/>
          <w:highlight w:val="none"/>
        </w:rPr>
        <w:t>4.2获取方式：</w:t>
      </w:r>
      <w:r>
        <w:rPr>
          <w:rFonts w:hint="eastAsia" w:ascii="仿宋_GB2312" w:hAnsi="仿宋_GB2312" w:eastAsia="仿宋_GB2312" w:cs="仿宋_GB2312"/>
          <w:bCs/>
          <w:i w:val="0"/>
          <w:iCs w:val="0"/>
          <w:highlight w:val="none"/>
        </w:rPr>
        <w:t>被邀请</w:t>
      </w:r>
      <w:r>
        <w:rPr>
          <w:rFonts w:hint="eastAsia" w:ascii="仿宋_GB2312" w:hAnsi="_x000B__x000C_" w:eastAsia="仿宋_GB2312"/>
          <w:i w:val="0"/>
          <w:iCs w:val="0"/>
          <w:szCs w:val="21"/>
          <w:highlight w:val="none"/>
        </w:rPr>
        <w:t xml:space="preserve">投标人须登录 </w:t>
      </w:r>
      <w:r>
        <w:rPr>
          <w:rFonts w:hint="eastAsia" w:ascii="仿宋_GB2312" w:hAnsi="仿宋" w:eastAsia="仿宋_GB2312"/>
          <w:b/>
          <w:i w:val="0"/>
          <w:iCs w:val="0"/>
          <w:snapToGrid w:val="0"/>
          <w:kern w:val="0"/>
          <w:szCs w:val="21"/>
          <w:highlight w:val="none"/>
          <w:u w:val="single"/>
        </w:rPr>
        <w:t>西藏自治区公共资源交易平台（通过西藏自治区公共资源交易网登陆，网址：</w:t>
      </w:r>
      <w:r>
        <w:rPr>
          <w:rFonts w:ascii="仿宋_GB2312" w:hAnsi="仿宋" w:eastAsia="仿宋_GB2312"/>
          <w:b/>
          <w:i w:val="0"/>
          <w:iCs w:val="0"/>
          <w:snapToGrid w:val="0"/>
          <w:kern w:val="0"/>
          <w:szCs w:val="21"/>
          <w:highlight w:val="none"/>
          <w:u w:val="single"/>
          <w:lang w:val="en"/>
        </w:rPr>
        <w:t>ggzy.xizang.gov.cn</w:t>
      </w:r>
      <w:r>
        <w:rPr>
          <w:rFonts w:hint="eastAsia" w:ascii="仿宋_GB2312" w:hAnsi="仿宋" w:eastAsia="仿宋_GB2312"/>
          <w:b/>
          <w:i w:val="0"/>
          <w:iCs w:val="0"/>
          <w:snapToGrid w:val="0"/>
          <w:kern w:val="0"/>
          <w:szCs w:val="21"/>
          <w:highlight w:val="none"/>
          <w:u w:val="single"/>
        </w:rPr>
        <w:t>）</w:t>
      </w:r>
      <w:r>
        <w:rPr>
          <w:rFonts w:hint="eastAsia" w:ascii="仿宋_GB2312" w:hAnsi="_x000B__x000C_" w:eastAsia="仿宋_GB2312"/>
          <w:i w:val="0"/>
          <w:iCs w:val="0"/>
          <w:szCs w:val="21"/>
          <w:highlight w:val="none"/>
        </w:rPr>
        <w:t xml:space="preserve">查阅招标文件。  </w:t>
      </w:r>
      <w:r>
        <w:rPr>
          <w:rFonts w:hint="eastAsia" w:ascii="仿宋_GB2312" w:hAnsi="仿宋" w:eastAsia="仿宋_GB2312"/>
          <w:bCs/>
          <w:i w:val="0"/>
          <w:iCs w:val="0"/>
          <w:snapToGrid w:val="0"/>
          <w:kern w:val="0"/>
          <w:szCs w:val="21"/>
          <w:highlight w:val="none"/>
          <w:u w:val="single"/>
        </w:rPr>
        <w:t>在</w:t>
      </w:r>
      <w:r>
        <w:rPr>
          <w:rFonts w:hint="eastAsia" w:ascii="仿宋_GB2312" w:hAnsi="仿宋" w:eastAsia="仿宋_GB2312"/>
          <w:b/>
          <w:i w:val="0"/>
          <w:iCs w:val="0"/>
          <w:snapToGrid w:val="0"/>
          <w:kern w:val="0"/>
          <w:szCs w:val="21"/>
          <w:highlight w:val="none"/>
          <w:u w:val="single"/>
        </w:rPr>
        <w:t>西藏自治区公共资源交易平台（</w:t>
      </w:r>
      <w:r>
        <w:rPr>
          <w:rFonts w:ascii="仿宋_GB2312" w:hAnsi="仿宋" w:eastAsia="仿宋_GB2312"/>
          <w:b/>
          <w:i w:val="0"/>
          <w:iCs w:val="0"/>
          <w:snapToGrid w:val="0"/>
          <w:kern w:val="0"/>
          <w:szCs w:val="21"/>
          <w:highlight w:val="none"/>
          <w:u w:val="single"/>
          <w:lang w:val="en"/>
        </w:rPr>
        <w:t>http://218.206.180.154:8081/gb-web/#/login</w:t>
      </w:r>
      <w:r>
        <w:rPr>
          <w:rFonts w:hint="eastAsia" w:ascii="仿宋_GB2312" w:hAnsi="仿宋" w:eastAsia="仿宋_GB2312"/>
          <w:b/>
          <w:i w:val="0"/>
          <w:iCs w:val="0"/>
          <w:snapToGrid w:val="0"/>
          <w:kern w:val="0"/>
          <w:szCs w:val="21"/>
          <w:highlight w:val="none"/>
          <w:u w:val="single"/>
        </w:rPr>
        <w:t>）</w:t>
      </w:r>
      <w:r>
        <w:rPr>
          <w:rFonts w:hint="eastAsia" w:ascii="仿宋_GB2312" w:hAnsi="仿宋" w:eastAsia="仿宋_GB2312"/>
          <w:b/>
          <w:bCs/>
          <w:i w:val="0"/>
          <w:iCs w:val="0"/>
          <w:snapToGrid w:val="0"/>
          <w:kern w:val="0"/>
          <w:szCs w:val="21"/>
          <w:highlight w:val="none"/>
          <w:u w:val="single"/>
        </w:rPr>
        <w:t xml:space="preserve"> </w:t>
      </w:r>
      <w:r>
        <w:rPr>
          <w:rFonts w:hint="eastAsia" w:ascii="仿宋_GB2312" w:hAnsi="仿宋" w:eastAsia="仿宋_GB2312"/>
          <w:i w:val="0"/>
          <w:iCs w:val="0"/>
          <w:snapToGrid w:val="0"/>
          <w:kern w:val="0"/>
          <w:szCs w:val="21"/>
          <w:highlight w:val="none"/>
          <w:u w:val="single"/>
          <w:lang w:eastAsia="zh-CN"/>
        </w:rPr>
        <w:t>获取招标文件</w:t>
      </w:r>
      <w:r>
        <w:rPr>
          <w:rFonts w:hint="eastAsia" w:ascii="仿宋_GB2312" w:hAnsi="仿宋" w:eastAsia="仿宋_GB2312"/>
          <w:b/>
          <w:bCs/>
          <w:i w:val="0"/>
          <w:iCs w:val="0"/>
          <w:snapToGrid w:val="0"/>
          <w:kern w:val="0"/>
          <w:szCs w:val="21"/>
          <w:highlight w:val="none"/>
        </w:rPr>
        <w:t>。</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108" w:name="_Toc30225"/>
      <w:r>
        <w:rPr>
          <w:rFonts w:hint="eastAsia" w:ascii="黑体" w:hAnsi="黑体" w:cs="Calibri"/>
          <w:b w:val="0"/>
          <w:bCs w:val="0"/>
          <w:i w:val="0"/>
          <w:iCs w:val="0"/>
          <w:highlight w:val="none"/>
        </w:rPr>
        <w:t>5. 投标文件的递交</w:t>
      </w:r>
      <w:bookmarkEnd w:id="103"/>
      <w:bookmarkEnd w:id="104"/>
      <w:bookmarkEnd w:id="105"/>
      <w:bookmarkEnd w:id="106"/>
      <w:bookmarkEnd w:id="107"/>
      <w:bookmarkEnd w:id="108"/>
    </w:p>
    <w:p>
      <w:pPr>
        <w:pageBreakBefore w:val="0"/>
        <w:widowControl w:val="0"/>
        <w:kinsoku/>
        <w:wordWrap/>
        <w:overflowPunct/>
        <w:topLinePunct w:val="0"/>
        <w:bidi w:val="0"/>
        <w:snapToGrid/>
        <w:spacing w:line="44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5.1投标文件递交的截止时间（投标截止时间，下同）为</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日</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时</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szCs w:val="21"/>
          <w:highlight w:val="none"/>
        </w:rPr>
        <w:t>分，投标人应在截止时间前通过</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_GB2312" w:eastAsia="仿宋_GB2312" w:cs="仿宋_GB2312"/>
          <w:i w:val="0"/>
          <w:iCs w:val="0"/>
          <w:szCs w:val="21"/>
          <w:highlight w:val="none"/>
        </w:rPr>
        <w:t>（电子交易系统）递交电子投标文件。</w:t>
      </w:r>
    </w:p>
    <w:p>
      <w:pPr>
        <w:pageBreakBefore w:val="0"/>
        <w:widowControl w:val="0"/>
        <w:kinsoku/>
        <w:wordWrap/>
        <w:overflowPunct/>
        <w:topLinePunct w:val="0"/>
        <w:bidi w:val="0"/>
        <w:snapToGrid/>
        <w:spacing w:line="44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5.2 未按要求加密或逾期送达的电子投标文件，电子交易系统将予以拒收。</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109" w:name="_Toc11642"/>
      <w:r>
        <w:rPr>
          <w:rFonts w:hint="eastAsia" w:ascii="黑体" w:hAnsi="黑体" w:cs="Calibri"/>
          <w:b w:val="0"/>
          <w:bCs w:val="0"/>
          <w:i w:val="0"/>
          <w:iCs w:val="0"/>
          <w:highlight w:val="none"/>
        </w:rPr>
        <w:t>6.</w:t>
      </w:r>
      <w:r>
        <w:rPr>
          <w:rFonts w:hint="eastAsia" w:ascii="黑体" w:hAnsi="黑体" w:cs="Calibri"/>
          <w:b w:val="0"/>
          <w:bCs w:val="0"/>
          <w:i w:val="0"/>
          <w:iCs w:val="0"/>
          <w:highlight w:val="none"/>
          <w:lang w:val="en-US" w:eastAsia="zh-CN"/>
        </w:rPr>
        <w:t xml:space="preserve"> </w:t>
      </w:r>
      <w:r>
        <w:rPr>
          <w:rFonts w:hint="eastAsia" w:ascii="黑体" w:hAnsi="黑体" w:cs="Calibri"/>
          <w:b w:val="0"/>
          <w:bCs w:val="0"/>
          <w:i w:val="0"/>
          <w:iCs w:val="0"/>
          <w:highlight w:val="none"/>
        </w:rPr>
        <w:t>开标时间及地点</w:t>
      </w:r>
      <w:bookmarkEnd w:id="109"/>
    </w:p>
    <w:p>
      <w:pPr>
        <w:pageBreakBefore w:val="0"/>
        <w:widowControl w:val="0"/>
        <w:kinsoku/>
        <w:wordWrap/>
        <w:overflowPunct/>
        <w:topLinePunct w:val="0"/>
        <w:bidi w:val="0"/>
        <w:snapToGrid/>
        <w:spacing w:line="440" w:lineRule="exact"/>
        <w:ind w:firstLine="437"/>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6.1开标时间：</w:t>
      </w:r>
      <w:r>
        <w:rPr>
          <w:rFonts w:hint="eastAsia" w:ascii="仿宋_GB2312" w:hAnsi="仿宋_GB2312" w:eastAsia="仿宋_GB2312" w:cs="仿宋_GB2312"/>
          <w:i w:val="0"/>
          <w:iCs w:val="0"/>
          <w:highlight w:val="none"/>
          <w:u w:val="single"/>
        </w:rPr>
        <w:t>同投标截止时间</w:t>
      </w:r>
      <w:r>
        <w:rPr>
          <w:rFonts w:hint="eastAsia" w:ascii="仿宋_GB2312" w:hAnsi="仿宋_GB2312" w:eastAsia="仿宋_GB2312" w:cs="仿宋_GB2312"/>
          <w:bCs/>
          <w:i w:val="0"/>
          <w:iCs w:val="0"/>
          <w:snapToGrid w:val="0"/>
          <w:kern w:val="0"/>
          <w:szCs w:val="21"/>
          <w:highlight w:val="none"/>
        </w:rPr>
        <w:t>。</w:t>
      </w:r>
    </w:p>
    <w:p>
      <w:pPr>
        <w:pageBreakBefore w:val="0"/>
        <w:widowControl w:val="0"/>
        <w:kinsoku/>
        <w:wordWrap/>
        <w:overflowPunct/>
        <w:topLinePunct w:val="0"/>
        <w:bidi w:val="0"/>
        <w:snapToGrid/>
        <w:spacing w:line="440" w:lineRule="exact"/>
        <w:ind w:firstLine="437"/>
        <w:textAlignment w:val="auto"/>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bCs/>
          <w:i w:val="0"/>
          <w:iCs w:val="0"/>
          <w:snapToGrid w:val="0"/>
          <w:kern w:val="0"/>
          <w:szCs w:val="21"/>
          <w:highlight w:val="none"/>
        </w:rPr>
        <w:t>6.2开标地点：</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宋体" w:eastAsia="仿宋_GB2312" w:cs="Calibri"/>
          <w:b/>
          <w:bCs/>
          <w:i w:val="0"/>
          <w:iCs w:val="0"/>
          <w:highlight w:val="none"/>
          <w:u w:val="single"/>
          <w:lang w:eastAsia="zh-CN"/>
        </w:rPr>
        <w:t>西藏自治区公共资源交易平台不见面开标大厅（可登录西藏自治区公共资源交易平台访问）</w:t>
      </w:r>
      <w:r>
        <w:rPr>
          <w:rFonts w:hint="eastAsia" w:ascii="仿宋_GB2312" w:hAnsi="仿宋_GB2312" w:eastAsia="仿宋_GB2312" w:cs="仿宋_GB2312"/>
          <w:bCs/>
          <w:i w:val="0"/>
          <w:iCs w:val="0"/>
          <w:snapToGrid w:val="0"/>
          <w:kern w:val="0"/>
          <w:sz w:val="21"/>
          <w:szCs w:val="21"/>
          <w:highlight w:val="none"/>
        </w:rPr>
        <w:t>。</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110" w:name="_Toc5941"/>
      <w:r>
        <w:rPr>
          <w:rFonts w:hint="eastAsia" w:ascii="黑体" w:hAnsi="黑体" w:cs="Calibri"/>
          <w:b w:val="0"/>
          <w:bCs w:val="0"/>
          <w:i w:val="0"/>
          <w:iCs w:val="0"/>
          <w:highlight w:val="none"/>
        </w:rPr>
        <w:t>7. 踏勘现场和投标预备会</w:t>
      </w:r>
      <w:bookmarkEnd w:id="110"/>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仿宋_GB2312" w:hAnsi="仿宋_GB2312" w:eastAsia="仿宋_GB2312" w:cs="仿宋_GB2312"/>
          <w:b/>
          <w:i w:val="0"/>
          <w:iCs w:val="0"/>
          <w:kern w:val="0"/>
          <w:szCs w:val="21"/>
          <w:highlight w:val="none"/>
        </w:rPr>
      </w:pPr>
      <w:r>
        <w:rPr>
          <w:rFonts w:hint="eastAsia" w:ascii="仿宋_GB2312" w:hAnsi="仿宋_GB2312" w:eastAsia="仿宋_GB2312" w:cs="仿宋_GB2312"/>
          <w:i w:val="0"/>
          <w:iCs w:val="0"/>
          <w:kern w:val="0"/>
          <w:szCs w:val="21"/>
          <w:highlight w:val="none"/>
        </w:rPr>
        <w:t>招标人定于</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（具体时间） 在</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（踏勘现场集合地点）组织踏勘现场，</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（具体时间）在</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（投标预备会地点）召开投标预备会，投标人可自愿参加，交通工具</w:t>
      </w:r>
      <w:r>
        <w:rPr>
          <w:rFonts w:hint="eastAsia" w:ascii="仿宋_GB2312" w:hAnsi="仿宋_GB2312" w:eastAsia="仿宋_GB2312" w:cs="仿宋_GB2312"/>
          <w:i w:val="0"/>
          <w:iCs w:val="0"/>
          <w:sz w:val="28"/>
          <w:szCs w:val="28"/>
          <w:highlight w:val="none"/>
          <w:u w:val="single"/>
        </w:rPr>
        <w:t xml:space="preserve">    </w:t>
      </w:r>
      <w:r>
        <w:rPr>
          <w:rFonts w:hint="eastAsia" w:ascii="仿宋_GB2312" w:hAnsi="仿宋_GB2312" w:eastAsia="仿宋_GB2312" w:cs="仿宋_GB2312"/>
          <w:i w:val="0"/>
          <w:iCs w:val="0"/>
          <w:kern w:val="0"/>
          <w:szCs w:val="21"/>
          <w:highlight w:val="none"/>
        </w:rPr>
        <w:t>（自备/招标人提供），食宿自理。（</w:t>
      </w:r>
      <w:r>
        <w:rPr>
          <w:rFonts w:hint="eastAsia" w:ascii="仿宋_GB2312" w:hAnsi="仿宋_GB2312" w:eastAsia="仿宋_GB2312" w:cs="仿宋_GB2312"/>
          <w:b/>
          <w:i w:val="0"/>
          <w:iCs w:val="0"/>
          <w:kern w:val="0"/>
          <w:szCs w:val="21"/>
          <w:highlight w:val="none"/>
        </w:rPr>
        <w:t>说明：适用于招标人组织踏勘现场或召开投标预备会的</w:t>
      </w:r>
      <w:r>
        <w:rPr>
          <w:rFonts w:hint="eastAsia" w:ascii="仿宋_GB2312" w:hAnsi="仿宋_GB2312" w:eastAsia="仿宋_GB2312" w:cs="仿宋_GB2312"/>
          <w:i w:val="0"/>
          <w:iCs w:val="0"/>
          <w:kern w:val="0"/>
          <w:szCs w:val="21"/>
          <w:highlight w:val="none"/>
        </w:rPr>
        <w:t>）</w:t>
      </w:r>
    </w:p>
    <w:p>
      <w:pPr>
        <w:pageBreakBefore w:val="0"/>
        <w:widowControl w:val="0"/>
        <w:tabs>
          <w:tab w:val="left" w:pos="360"/>
        </w:tabs>
        <w:kinsoku/>
        <w:wordWrap/>
        <w:overflowPunct/>
        <w:topLinePunct w:val="0"/>
        <w:bidi w:val="0"/>
        <w:snapToGrid/>
        <w:spacing w:line="44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i w:val="0"/>
          <w:iCs w:val="0"/>
          <w:kern w:val="0"/>
          <w:szCs w:val="21"/>
          <w:highlight w:val="none"/>
        </w:rPr>
        <w:t>招标人不组织踏勘现场，不召开投标预备会。</w:t>
      </w:r>
      <w:r>
        <w:rPr>
          <w:rFonts w:hint="eastAsia" w:ascii="仿宋_GB2312" w:hAnsi="仿宋_GB2312" w:eastAsia="仿宋_GB2312" w:cs="仿宋_GB2312"/>
          <w:b/>
          <w:i w:val="0"/>
          <w:iCs w:val="0"/>
          <w:kern w:val="0"/>
          <w:szCs w:val="21"/>
          <w:highlight w:val="none"/>
        </w:rPr>
        <w:t>（说明：适用于招标人不组织踏勘现场和召开投标预备会的）</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111" w:name="_Toc144974492"/>
      <w:bookmarkStart w:id="112" w:name="_Toc152042300"/>
      <w:bookmarkStart w:id="113" w:name="_Toc247513947"/>
      <w:bookmarkStart w:id="114" w:name="_Toc21966"/>
      <w:bookmarkStart w:id="115" w:name="_Toc247527548"/>
      <w:bookmarkStart w:id="116" w:name="_Toc152045524"/>
      <w:r>
        <w:rPr>
          <w:rFonts w:hint="eastAsia" w:ascii="黑体" w:hAnsi="黑体" w:cs="Calibri"/>
          <w:b w:val="0"/>
          <w:bCs w:val="0"/>
          <w:i w:val="0"/>
          <w:iCs w:val="0"/>
          <w:highlight w:val="none"/>
        </w:rPr>
        <w:t>8. 确认</w:t>
      </w:r>
      <w:bookmarkEnd w:id="111"/>
      <w:bookmarkEnd w:id="112"/>
      <w:bookmarkEnd w:id="113"/>
      <w:bookmarkEnd w:id="114"/>
      <w:bookmarkEnd w:id="115"/>
      <w:bookmarkEnd w:id="116"/>
    </w:p>
    <w:p>
      <w:pPr>
        <w:pageBreakBefore w:val="0"/>
        <w:widowControl w:val="0"/>
        <w:kinsoku/>
        <w:wordWrap/>
        <w:overflowPunct/>
        <w:topLinePunct w:val="0"/>
        <w:bidi w:val="0"/>
        <w:snapToGrid/>
        <w:spacing w:line="400" w:lineRule="exact"/>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kern w:val="0"/>
          <w:szCs w:val="21"/>
          <w:highlight w:val="none"/>
        </w:rPr>
        <w:t>你单位收到本邀请书后，请于</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（具体时间）前通过 </w:t>
      </w:r>
      <w:r>
        <w:rPr>
          <w:rFonts w:hint="eastAsia" w:ascii="仿宋_GB2312" w:hAnsi="仿宋_GB2312" w:eastAsia="仿宋_GB2312" w:cs="仿宋_GB2312"/>
          <w:b/>
          <w:bCs/>
          <w:i w:val="0"/>
          <w:iCs w:val="0"/>
          <w:kern w:val="0"/>
          <w:szCs w:val="21"/>
          <w:highlight w:val="none"/>
          <w:u w:val="single"/>
        </w:rPr>
        <w:t xml:space="preserve"> </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_GB2312" w:eastAsia="仿宋_GB2312" w:cs="仿宋_GB2312"/>
          <w:i w:val="0"/>
          <w:iCs w:val="0"/>
          <w:kern w:val="0"/>
          <w:szCs w:val="21"/>
          <w:highlight w:val="none"/>
        </w:rPr>
        <w:t>（电子交易系统）确认是否参加投标。</w:t>
      </w:r>
    </w:p>
    <w:p>
      <w:pPr>
        <w:pStyle w:val="3"/>
        <w:pageBreakBefore w:val="0"/>
        <w:widowControl/>
        <w:tabs>
          <w:tab w:val="left" w:pos="4205"/>
        </w:tabs>
        <w:kinsoku/>
        <w:wordWrap/>
        <w:overflowPunct/>
        <w:topLinePunct w:val="0"/>
        <w:bidi w:val="0"/>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117" w:name="_Toc25491"/>
      <w:bookmarkStart w:id="118" w:name="_Toc144974493"/>
      <w:bookmarkStart w:id="119" w:name="_Toc247527549"/>
      <w:bookmarkStart w:id="120" w:name="_Toc247513948"/>
      <w:bookmarkStart w:id="121" w:name="_Toc152042301"/>
      <w:bookmarkStart w:id="122" w:name="_Toc152045525"/>
      <w:r>
        <w:rPr>
          <w:rFonts w:hint="eastAsia" w:ascii="黑体" w:hAnsi="黑体" w:cs="Calibri"/>
          <w:b w:val="0"/>
          <w:bCs w:val="0"/>
          <w:i w:val="0"/>
          <w:iCs w:val="0"/>
          <w:highlight w:val="none"/>
        </w:rPr>
        <w:t>9. 注意事项</w:t>
      </w:r>
      <w:bookmarkEnd w:id="117"/>
    </w:p>
    <w:p>
      <w:pPr>
        <w:autoSpaceDE w:val="0"/>
        <w:autoSpaceDN w:val="0"/>
        <w:adjustRightInd w:val="0"/>
        <w:spacing w:line="440" w:lineRule="exact"/>
        <w:ind w:firstLine="462" w:firstLineChars="22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lang w:val="en-US" w:eastAsia="zh-CN"/>
        </w:rPr>
        <w:t>9</w:t>
      </w:r>
      <w:r>
        <w:rPr>
          <w:rFonts w:hint="eastAsia" w:ascii="仿宋_GB2312" w:hAnsi="_x000B__x000C_" w:eastAsia="仿宋_GB2312"/>
          <w:i w:val="0"/>
          <w:iCs w:val="0"/>
          <w:kern w:val="0"/>
          <w:szCs w:val="21"/>
          <w:highlight w:val="none"/>
        </w:rPr>
        <w:t>.1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lang w:val="en-US" w:eastAsia="zh-CN"/>
        </w:rPr>
      </w:pPr>
      <w:r>
        <w:rPr>
          <w:rFonts w:hint="eastAsia" w:ascii="仿宋_GB2312" w:hAnsi="_x000B__x000C_" w:eastAsia="仿宋_GB2312"/>
          <w:i w:val="0"/>
          <w:iCs w:val="0"/>
          <w:kern w:val="0"/>
          <w:szCs w:val="21"/>
          <w:highlight w:val="none"/>
          <w:lang w:val="en-US" w:eastAsia="zh-CN"/>
        </w:rPr>
        <w:t>9.2 投标人在投标时需要上传加密的电子投标文件至电子交易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lang w:val="en-US" w:eastAsia="zh-CN"/>
        </w:rPr>
      </w:pPr>
      <w:r>
        <w:rPr>
          <w:rFonts w:hint="eastAsia" w:ascii="仿宋_GB2312" w:hAnsi="宋体" w:eastAsia="仿宋_GB2312" w:cs="楷体"/>
          <w:bCs/>
          <w:i w:val="0"/>
          <w:iCs w:val="0"/>
          <w:snapToGrid w:val="0"/>
          <w:kern w:val="0"/>
          <w:szCs w:val="21"/>
          <w:highlight w:val="none"/>
          <w:lang w:val="en-US" w:eastAsia="zh-CN"/>
        </w:rPr>
        <w:t>9.3</w:t>
      </w:r>
      <w:r>
        <w:rPr>
          <w:rFonts w:hint="eastAsia" w:ascii="仿宋_GB2312" w:hAnsi="宋体" w:eastAsia="仿宋_GB2312" w:cs="楷体"/>
          <w:bCs/>
          <w:i w:val="0"/>
          <w:iCs w:val="0"/>
          <w:snapToGrid w:val="0"/>
          <w:kern w:val="0"/>
          <w:szCs w:val="21"/>
          <w:highlight w:val="none"/>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lang w:val="en-US" w:eastAsia="zh-CN"/>
        </w:rPr>
        <w:t>9</w:t>
      </w:r>
      <w:r>
        <w:rPr>
          <w:rFonts w:hint="eastAsia" w:ascii="仿宋_GB2312" w:hAnsi="_x000B__x000C_" w:eastAsia="仿宋_GB2312"/>
          <w:i w:val="0"/>
          <w:iCs w:val="0"/>
          <w:kern w:val="0"/>
          <w:szCs w:val="21"/>
          <w:highlight w:val="none"/>
        </w:rPr>
        <w:t>.</w:t>
      </w:r>
      <w:r>
        <w:rPr>
          <w:rFonts w:hint="eastAsia" w:ascii="仿宋_GB2312" w:hAnsi="_x000B__x000C_" w:eastAsia="仿宋_GB2312"/>
          <w:i w:val="0"/>
          <w:iCs w:val="0"/>
          <w:kern w:val="0"/>
          <w:szCs w:val="21"/>
          <w:highlight w:val="none"/>
          <w:lang w:val="en-US" w:eastAsia="zh-CN"/>
        </w:rPr>
        <w:t xml:space="preserve">4 </w:t>
      </w:r>
      <w:r>
        <w:rPr>
          <w:rFonts w:hint="eastAsia" w:ascii="仿宋_GB2312" w:hAnsi="_x000B__x000C_" w:eastAsia="仿宋_GB2312"/>
          <w:i w:val="0"/>
          <w:iCs w:val="0"/>
          <w:kern w:val="0"/>
          <w:szCs w:val="21"/>
          <w:highlight w:val="none"/>
        </w:rPr>
        <w:t>其他：</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i w:val="0"/>
          <w:iCs w:val="0"/>
          <w:kern w:val="0"/>
          <w:szCs w:val="21"/>
          <w:highlight w:val="none"/>
        </w:rPr>
        <w:t>。</w:t>
      </w:r>
    </w:p>
    <w:p>
      <w:pPr>
        <w:pStyle w:val="3"/>
        <w:pageBreakBefore w:val="0"/>
        <w:widowControl/>
        <w:tabs>
          <w:tab w:val="left" w:pos="4205"/>
        </w:tabs>
        <w:kinsoku/>
        <w:wordWrap/>
        <w:overflowPunct/>
        <w:topLinePunct w:val="0"/>
        <w:bidi w:val="0"/>
        <w:adjustRightInd/>
        <w:snapToGrid/>
        <w:spacing w:before="143" w:beforeLines="50" w:after="143" w:afterLines="50" w:line="440" w:lineRule="exact"/>
        <w:jc w:val="left"/>
        <w:textAlignment w:val="auto"/>
        <w:rPr>
          <w:rFonts w:hint="eastAsia" w:ascii="黑体" w:hAnsi="黑体" w:cs="Calibri"/>
          <w:b w:val="0"/>
          <w:bCs w:val="0"/>
          <w:i w:val="0"/>
          <w:iCs w:val="0"/>
          <w:highlight w:val="none"/>
        </w:rPr>
      </w:pPr>
      <w:bookmarkStart w:id="123" w:name="_Toc26307"/>
      <w:r>
        <w:rPr>
          <w:rFonts w:hint="eastAsia" w:ascii="黑体" w:hAnsi="黑体" w:cs="Calibri"/>
          <w:b w:val="0"/>
          <w:bCs w:val="0"/>
          <w:i w:val="0"/>
          <w:iCs w:val="0"/>
          <w:highlight w:val="none"/>
        </w:rPr>
        <w:t>1</w:t>
      </w:r>
      <w:r>
        <w:rPr>
          <w:rFonts w:hint="eastAsia" w:ascii="黑体" w:hAnsi="黑体" w:cs="Calibri"/>
          <w:b w:val="0"/>
          <w:bCs w:val="0"/>
          <w:i w:val="0"/>
          <w:iCs w:val="0"/>
          <w:highlight w:val="none"/>
          <w:lang w:val="en-US" w:eastAsia="zh-CN"/>
        </w:rPr>
        <w:t>0</w:t>
      </w:r>
      <w:r>
        <w:rPr>
          <w:rFonts w:hint="eastAsia" w:ascii="黑体" w:hAnsi="黑体" w:cs="Calibri"/>
          <w:b w:val="0"/>
          <w:bCs w:val="0"/>
          <w:i w:val="0"/>
          <w:iCs w:val="0"/>
          <w:highlight w:val="none"/>
        </w:rPr>
        <w:t>.</w:t>
      </w:r>
      <w:r>
        <w:rPr>
          <w:rFonts w:hint="eastAsia" w:ascii="黑体" w:hAnsi="黑体" w:cs="Calibri"/>
          <w:b w:val="0"/>
          <w:bCs w:val="0"/>
          <w:i w:val="0"/>
          <w:iCs w:val="0"/>
          <w:highlight w:val="none"/>
          <w:lang w:val="en-US" w:eastAsia="zh-CN"/>
        </w:rPr>
        <w:t xml:space="preserve"> </w:t>
      </w:r>
      <w:r>
        <w:rPr>
          <w:rFonts w:hint="eastAsia" w:ascii="黑体" w:hAnsi="黑体" w:cs="Calibri"/>
          <w:b w:val="0"/>
          <w:bCs w:val="0"/>
          <w:i w:val="0"/>
          <w:iCs w:val="0"/>
          <w:highlight w:val="none"/>
        </w:rPr>
        <w:t>联系方式</w:t>
      </w:r>
      <w:bookmarkEnd w:id="123"/>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招 标 人：</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地    址：</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邮    编：</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联 系 人：</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电    话：</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招标代理机构：</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地    址：</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邮    编：</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联 系 人：</w:t>
      </w:r>
      <w:r>
        <w:rPr>
          <w:rFonts w:hint="eastAsia" w:ascii="仿宋_GB2312" w:hAnsi="仿宋_GB2312" w:eastAsia="仿宋_GB2312" w:cs="仿宋_GB2312"/>
          <w:i w:val="0"/>
          <w:iCs w:val="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highlight w:val="none"/>
          <w:u w:val="single"/>
        </w:rPr>
      </w:pPr>
      <w:r>
        <w:rPr>
          <w:rFonts w:hint="eastAsia" w:ascii="仿宋_GB2312" w:hAnsi="仿宋_GB2312" w:eastAsia="仿宋_GB2312" w:cs="仿宋_GB2312"/>
          <w:i w:val="0"/>
          <w:iCs w:val="0"/>
          <w:highlight w:val="none"/>
        </w:rPr>
        <w:t>电    话：</w:t>
      </w:r>
      <w:r>
        <w:rPr>
          <w:rFonts w:hint="eastAsia" w:ascii="仿宋_GB2312" w:hAnsi="仿宋_GB2312" w:eastAsia="仿宋_GB2312" w:cs="仿宋_GB2312"/>
          <w:i w:val="0"/>
          <w:iCs w:val="0"/>
          <w:highlight w:val="none"/>
          <w:u w:val="single"/>
        </w:rPr>
        <w:t xml:space="preserve">                            </w:t>
      </w:r>
    </w:p>
    <w:p>
      <w:pPr>
        <w:pStyle w:val="3"/>
        <w:pageBreakBefore w:val="0"/>
        <w:widowControl/>
        <w:numPr>
          <w:ilvl w:val="-1"/>
          <w:numId w:val="0"/>
        </w:numPr>
        <w:tabs>
          <w:tab w:val="left" w:pos="4205"/>
        </w:tabs>
        <w:kinsoku/>
        <w:wordWrap/>
        <w:overflowPunct/>
        <w:topLinePunct w:val="0"/>
        <w:autoSpaceDE/>
        <w:autoSpaceDN/>
        <w:bidi w:val="0"/>
        <w:spacing w:before="143" w:beforeLines="50" w:after="143" w:afterLines="50" w:line="440" w:lineRule="exact"/>
        <w:jc w:val="left"/>
        <w:textAlignment w:val="auto"/>
        <w:rPr>
          <w:rFonts w:hint="eastAsia" w:ascii="黑体" w:hAnsi="黑体" w:eastAsia="黑体" w:cs="Calibri"/>
          <w:b w:val="0"/>
          <w:bCs w:val="0"/>
          <w:i w:val="0"/>
          <w:iCs w:val="0"/>
          <w:sz w:val="32"/>
          <w:szCs w:val="32"/>
          <w:highlight w:val="none"/>
          <w:lang w:val="en-US" w:eastAsia="zh-CN"/>
        </w:rPr>
      </w:pPr>
      <w:r>
        <w:rPr>
          <w:rFonts w:hint="eastAsia" w:ascii="黑体" w:hAnsi="黑体" w:eastAsia="黑体" w:cs="Calibri"/>
          <w:b w:val="0"/>
          <w:bCs w:val="0"/>
          <w:i w:val="0"/>
          <w:iCs w:val="0"/>
          <w:kern w:val="2"/>
          <w:sz w:val="32"/>
          <w:szCs w:val="32"/>
          <w:highlight w:val="none"/>
          <w:lang w:val="en-US" w:eastAsia="zh-CN" w:bidi="ar-SA"/>
        </w:rPr>
        <w:t>11.受理</w:t>
      </w:r>
      <w:r>
        <w:rPr>
          <w:rFonts w:hint="eastAsia" w:ascii="黑体" w:hAnsi="黑体" w:eastAsia="黑体" w:cs="Calibri"/>
          <w:b w:val="0"/>
          <w:bCs w:val="0"/>
          <w:i w:val="0"/>
          <w:iCs w:val="0"/>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highlight w:val="none"/>
          <w:u w:val="single"/>
        </w:rPr>
      </w:pPr>
    </w:p>
    <w:bookmarkEnd w:id="118"/>
    <w:bookmarkEnd w:id="119"/>
    <w:bookmarkEnd w:id="120"/>
    <w:bookmarkEnd w:id="121"/>
    <w:bookmarkEnd w:id="122"/>
    <w:p>
      <w:pPr>
        <w:keepNext w:val="0"/>
        <w:keepLines w:val="0"/>
        <w:pageBreakBefore w:val="0"/>
        <w:widowControl w:val="0"/>
        <w:kinsoku/>
        <w:wordWrap/>
        <w:overflowPunct/>
        <w:topLinePunct w:val="0"/>
        <w:autoSpaceDE/>
        <w:autoSpaceDN/>
        <w:bidi w:val="0"/>
        <w:adjustRightInd/>
        <w:snapToGrid/>
        <w:spacing w:line="500" w:lineRule="exact"/>
        <w:ind w:firstLine="137"/>
        <w:textAlignment w:val="auto"/>
        <w:rPr>
          <w:rFonts w:ascii="黑体" w:hAnsi="黑体" w:eastAsia="黑体"/>
          <w:i w:val="0"/>
          <w:iCs w:val="0"/>
          <w:sz w:val="28"/>
          <w:szCs w:val="28"/>
          <w:highlight w:val="none"/>
        </w:rPr>
      </w:pPr>
      <w:r>
        <w:rPr>
          <w:i w:val="0"/>
          <w:iCs w:val="0"/>
          <w:highlight w:val="none"/>
        </w:rPr>
        <w:br w:type="page"/>
      </w:r>
      <w:r>
        <w:rPr>
          <w:rFonts w:hint="eastAsia" w:ascii="方正黑体_GBK" w:hAnsi="方正黑体_GBK" w:eastAsia="方正黑体_GBK" w:cs="方正黑体_GBK"/>
          <w:i w:val="0"/>
          <w:iCs w:val="0"/>
          <w:sz w:val="28"/>
          <w:szCs w:val="28"/>
          <w:highlight w:val="none"/>
        </w:rPr>
        <w:t>附件：</w:t>
      </w:r>
    </w:p>
    <w:p>
      <w:pPr>
        <w:spacing w:line="400" w:lineRule="exact"/>
        <w:rPr>
          <w:i w:val="0"/>
          <w:iCs w:val="0"/>
          <w:highlight w:val="none"/>
        </w:rPr>
      </w:pPr>
    </w:p>
    <w:p>
      <w:pPr>
        <w:spacing w:line="400" w:lineRule="exact"/>
        <w:jc w:val="center"/>
        <w:rPr>
          <w:rFonts w:ascii="黑体" w:eastAsia="黑体"/>
          <w:i w:val="0"/>
          <w:iCs w:val="0"/>
          <w:sz w:val="28"/>
          <w:szCs w:val="28"/>
          <w:highlight w:val="none"/>
        </w:rPr>
      </w:pPr>
      <w:r>
        <w:rPr>
          <w:rFonts w:hint="eastAsia" w:ascii="黑体" w:eastAsia="黑体"/>
          <w:i w:val="0"/>
          <w:iCs w:val="0"/>
          <w:sz w:val="32"/>
          <w:szCs w:val="32"/>
          <w:highlight w:val="none"/>
        </w:rPr>
        <w:t>确认通知</w:t>
      </w:r>
    </w:p>
    <w:p>
      <w:pPr>
        <w:spacing w:line="400" w:lineRule="exact"/>
        <w:rPr>
          <w:i w:val="0"/>
          <w:iCs w:val="0"/>
          <w:highlight w:val="none"/>
        </w:rPr>
      </w:pP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（招标人名称）：</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w:t>
      </w:r>
    </w:p>
    <w:p>
      <w:pPr>
        <w:spacing w:line="440" w:lineRule="exact"/>
        <w:ind w:firstLine="840" w:firstLineChars="4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我方已于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日收到你方</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日发出的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（项目名称）关于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的通知，并确认</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（参加/不参加）投标。</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特此确认。</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lang w:val="en-US" w:eastAsia="zh-CN"/>
        </w:rPr>
        <w:t xml:space="preserve">  </w:t>
      </w:r>
      <w:r>
        <w:rPr>
          <w:rFonts w:hint="eastAsia" w:ascii="仿宋_GB2312" w:hAnsi="仿宋_GB2312" w:eastAsia="仿宋_GB2312" w:cs="仿宋_GB2312"/>
          <w:i w:val="0"/>
          <w:iCs w:val="0"/>
          <w:szCs w:val="21"/>
          <w:highlight w:val="none"/>
        </w:rPr>
        <w:t>被邀请单位名称：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u w:val="single"/>
          <w:lang w:val="en-US" w:eastAsia="zh-CN"/>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（盖单位章）</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法</w:t>
      </w:r>
      <w:r>
        <w:rPr>
          <w:rFonts w:hint="eastAsia" w:ascii="仿宋_GB2312" w:hAnsi="仿宋_GB2312" w:eastAsia="仿宋_GB2312" w:cs="仿宋_GB2312"/>
          <w:i w:val="0"/>
          <w:iCs w:val="0"/>
          <w:szCs w:val="21"/>
          <w:highlight w:val="none"/>
          <w:lang w:val="en-US" w:eastAsia="zh-CN"/>
        </w:rPr>
        <w:t xml:space="preserve"> </w:t>
      </w:r>
      <w:r>
        <w:rPr>
          <w:rFonts w:hint="eastAsia" w:ascii="仿宋_GB2312" w:hAnsi="仿宋_GB2312" w:eastAsia="仿宋_GB2312" w:cs="仿宋_GB2312"/>
          <w:i w:val="0"/>
          <w:iCs w:val="0"/>
          <w:szCs w:val="21"/>
          <w:highlight w:val="none"/>
        </w:rPr>
        <w:t>定</w:t>
      </w:r>
      <w:r>
        <w:rPr>
          <w:rFonts w:hint="eastAsia" w:ascii="仿宋_GB2312" w:hAnsi="仿宋_GB2312" w:eastAsia="仿宋_GB2312" w:cs="仿宋_GB2312"/>
          <w:i w:val="0"/>
          <w:iCs w:val="0"/>
          <w:szCs w:val="21"/>
          <w:highlight w:val="none"/>
          <w:lang w:val="en-US" w:eastAsia="zh-CN"/>
        </w:rPr>
        <w:t xml:space="preserve"> </w:t>
      </w:r>
      <w:r>
        <w:rPr>
          <w:rFonts w:hint="eastAsia" w:ascii="仿宋_GB2312" w:hAnsi="仿宋_GB2312" w:eastAsia="仿宋_GB2312" w:cs="仿宋_GB2312"/>
          <w:i w:val="0"/>
          <w:iCs w:val="0"/>
          <w:szCs w:val="21"/>
          <w:highlight w:val="none"/>
        </w:rPr>
        <w:t>代</w:t>
      </w:r>
      <w:r>
        <w:rPr>
          <w:rFonts w:hint="eastAsia" w:ascii="仿宋_GB2312" w:hAnsi="仿宋_GB2312" w:eastAsia="仿宋_GB2312" w:cs="仿宋_GB2312"/>
          <w:i w:val="0"/>
          <w:iCs w:val="0"/>
          <w:szCs w:val="21"/>
          <w:highlight w:val="none"/>
          <w:lang w:val="en-US" w:eastAsia="zh-CN"/>
        </w:rPr>
        <w:t xml:space="preserve"> </w:t>
      </w:r>
      <w:r>
        <w:rPr>
          <w:rFonts w:hint="eastAsia" w:ascii="仿宋_GB2312" w:hAnsi="仿宋_GB2312" w:eastAsia="仿宋_GB2312" w:cs="仿宋_GB2312"/>
          <w:i w:val="0"/>
          <w:iCs w:val="0"/>
          <w:szCs w:val="21"/>
          <w:highlight w:val="none"/>
        </w:rPr>
        <w:t>表</w:t>
      </w:r>
      <w:r>
        <w:rPr>
          <w:rFonts w:hint="eastAsia" w:ascii="仿宋_GB2312" w:hAnsi="仿宋_GB2312" w:eastAsia="仿宋_GB2312" w:cs="仿宋_GB2312"/>
          <w:i w:val="0"/>
          <w:iCs w:val="0"/>
          <w:szCs w:val="21"/>
          <w:highlight w:val="none"/>
          <w:lang w:val="en-US" w:eastAsia="zh-CN"/>
        </w:rPr>
        <w:t xml:space="preserve"> </w:t>
      </w:r>
      <w:r>
        <w:rPr>
          <w:rFonts w:hint="eastAsia" w:ascii="仿宋_GB2312" w:hAnsi="仿宋_GB2312" w:eastAsia="仿宋_GB2312" w:cs="仿宋_GB2312"/>
          <w:i w:val="0"/>
          <w:iCs w:val="0"/>
          <w:szCs w:val="21"/>
          <w:highlight w:val="none"/>
        </w:rPr>
        <w:t>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签字）</w:t>
      </w:r>
    </w:p>
    <w:p>
      <w:pPr>
        <w:spacing w:line="440" w:lineRule="exact"/>
        <w:jc w:val="right"/>
        <w:rPr>
          <w:rFonts w:hint="eastAsia"/>
          <w:i w:val="0"/>
          <w:iCs w:val="0"/>
          <w:szCs w:val="21"/>
          <w:highlight w:val="none"/>
        </w:rPr>
      </w:pP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日 </w:t>
      </w:r>
      <w:r>
        <w:rPr>
          <w:rFonts w:hint="eastAsia"/>
          <w:i w:val="0"/>
          <w:iCs w:val="0"/>
          <w:szCs w:val="21"/>
          <w:highlight w:val="none"/>
        </w:rPr>
        <w:t xml:space="preserve">       </w:t>
      </w:r>
    </w:p>
    <w:p>
      <w:pPr>
        <w:rPr>
          <w:i w:val="0"/>
          <w:iCs w:val="0"/>
          <w:highlight w:val="none"/>
        </w:rPr>
      </w:pPr>
    </w:p>
    <w:p>
      <w:pPr>
        <w:pStyle w:val="2"/>
        <w:jc w:val="center"/>
        <w:rPr>
          <w:i w:val="0"/>
          <w:iCs w:val="0"/>
          <w:highlight w:val="none"/>
        </w:rPr>
      </w:pPr>
      <w:r>
        <w:rPr>
          <w:i w:val="0"/>
          <w:iCs w:val="0"/>
          <w:highlight w:val="none"/>
        </w:rPr>
        <w:br w:type="page"/>
      </w:r>
      <w:bookmarkStart w:id="124" w:name="_Toc144974495"/>
      <w:bookmarkStart w:id="125" w:name="_Toc247527551"/>
      <w:bookmarkStart w:id="126" w:name="_Toc152042303"/>
      <w:bookmarkStart w:id="127" w:name="_Toc247513950"/>
      <w:bookmarkStart w:id="128" w:name="_Toc152045527"/>
      <w:bookmarkStart w:id="129" w:name="_Toc31785"/>
      <w:r>
        <w:rPr>
          <w:rFonts w:hint="eastAsia" w:ascii="黑体" w:hAnsi="黑体" w:eastAsia="黑体" w:cs="黑体"/>
          <w:b w:val="0"/>
          <w:bCs w:val="0"/>
          <w:i w:val="0"/>
          <w:iCs w:val="0"/>
          <w:highlight w:val="none"/>
        </w:rPr>
        <w:t>第二章 投标人须知</w:t>
      </w:r>
      <w:bookmarkEnd w:id="124"/>
      <w:bookmarkEnd w:id="125"/>
      <w:bookmarkEnd w:id="126"/>
      <w:bookmarkEnd w:id="127"/>
      <w:bookmarkEnd w:id="128"/>
      <w:bookmarkEnd w:id="129"/>
    </w:p>
    <w:p>
      <w:pPr>
        <w:pStyle w:val="3"/>
        <w:jc w:val="center"/>
        <w:rPr>
          <w:b w:val="0"/>
          <w:bCs w:val="0"/>
          <w:i w:val="0"/>
          <w:iCs w:val="0"/>
          <w:highlight w:val="none"/>
        </w:rPr>
      </w:pPr>
      <w:bookmarkStart w:id="130" w:name="_Toc247527552"/>
      <w:bookmarkStart w:id="131" w:name="_Toc152042304"/>
      <w:bookmarkStart w:id="132" w:name="_Toc144974496"/>
      <w:bookmarkStart w:id="133" w:name="_Toc247513951"/>
      <w:bookmarkStart w:id="134" w:name="_Toc152045528"/>
      <w:bookmarkStart w:id="135" w:name="_Toc12743"/>
      <w:r>
        <w:rPr>
          <w:rFonts w:hint="eastAsia"/>
          <w:b w:val="0"/>
          <w:bCs w:val="0"/>
          <w:i w:val="0"/>
          <w:iCs w:val="0"/>
          <w:highlight w:val="none"/>
        </w:rPr>
        <w:t>投标人须知前附表</w:t>
      </w:r>
      <w:bookmarkEnd w:id="130"/>
      <w:bookmarkEnd w:id="131"/>
      <w:bookmarkEnd w:id="132"/>
      <w:bookmarkEnd w:id="133"/>
      <w:bookmarkEnd w:id="134"/>
      <w:bookmarkEnd w:id="135"/>
    </w:p>
    <w:tbl>
      <w:tblPr>
        <w:tblStyle w:val="41"/>
        <w:tblW w:w="5000" w:type="pct"/>
        <w:tblInd w:w="0" w:type="dxa"/>
        <w:tblLayout w:type="fixed"/>
        <w:tblCellMar>
          <w:top w:w="0" w:type="dxa"/>
          <w:left w:w="108" w:type="dxa"/>
          <w:bottom w:w="0" w:type="dxa"/>
          <w:right w:w="108" w:type="dxa"/>
        </w:tblCellMar>
      </w:tblPr>
      <w:tblGrid>
        <w:gridCol w:w="1108"/>
        <w:gridCol w:w="2119"/>
        <w:gridCol w:w="6059"/>
      </w:tblGrid>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条款号</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  款  名  称</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编  列  内  容</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招标人</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名称：</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地址：</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联系人：</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电话：</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1.1.3</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招标代理机构</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名称：</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地址：</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联系人：</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电话：</w:t>
            </w:r>
          </w:p>
        </w:tc>
      </w:tr>
      <w:t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1.1.4</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项目名称</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1.1.5</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建设地点</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资金来源及比例</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1.2.2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资金落实情况</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招标范围</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计划工期</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计划工期：</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日历天</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计划开始工作日期：</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 xml:space="preserve">年 </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月</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日</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计划竣工日期：</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 xml:space="preserve">年 </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月</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日</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1.3.3</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质量标准</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设计要求的质量标准：</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施工要求的质量标准：</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1.4.1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投标人资质条件、能力和信誉</w:t>
            </w:r>
          </w:p>
          <w:p>
            <w:pPr>
              <w:spacing w:line="440" w:lineRule="exact"/>
              <w:rPr>
                <w:rFonts w:hint="eastAsia" w:ascii="仿宋_GB2312" w:hAnsi="仿宋_GB2312" w:eastAsia="仿宋_GB2312" w:cs="仿宋_GB2312"/>
                <w:i w:val="0"/>
                <w:iCs w:val="0"/>
                <w:sz w:val="18"/>
                <w:szCs w:val="18"/>
                <w:highlight w:val="none"/>
              </w:rPr>
            </w:pP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rPr>
              <w:t>（1）资质条件：</w:t>
            </w:r>
            <w:r>
              <w:rPr>
                <w:rFonts w:hint="eastAsia" w:ascii="仿宋_GB2312" w:hAnsi="仿宋_GB2312" w:eastAsia="仿宋_GB2312" w:cs="仿宋_GB2312"/>
                <w:i w:val="0"/>
                <w:iCs w:val="0"/>
                <w:sz w:val="18"/>
                <w:szCs w:val="18"/>
                <w:highlight w:val="none"/>
                <w:u w:val="single"/>
                <w:lang w:val="en-US" w:eastAsia="zh-CN"/>
              </w:rPr>
              <w:t xml:space="preserve">            </w:t>
            </w:r>
          </w:p>
          <w:p>
            <w:pPr>
              <w:spacing w:line="440" w:lineRule="exact"/>
              <w:rPr>
                <w:rFonts w:hint="default"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rPr>
              <w:t>（2）财务要求：</w:t>
            </w:r>
            <w:r>
              <w:rPr>
                <w:rFonts w:hint="eastAsia" w:ascii="仿宋_GB2312" w:hAnsi="仿宋_GB2312" w:eastAsia="仿宋_GB2312" w:cs="仿宋_GB2312"/>
                <w:i w:val="0"/>
                <w:iCs w:val="0"/>
                <w:sz w:val="18"/>
                <w:szCs w:val="18"/>
                <w:highlight w:val="none"/>
                <w:u w:val="single"/>
                <w:lang w:val="en-US" w:eastAsia="zh-CN"/>
              </w:rPr>
              <w:t xml:space="preserve">            </w:t>
            </w:r>
          </w:p>
          <w:p>
            <w:pPr>
              <w:spacing w:line="440" w:lineRule="exact"/>
              <w:rPr>
                <w:rFonts w:hint="default"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rPr>
              <w:t>（3）业绩要求：</w:t>
            </w:r>
            <w:r>
              <w:rPr>
                <w:rFonts w:hint="eastAsia" w:ascii="仿宋_GB2312" w:hAnsi="仿宋_GB2312" w:eastAsia="仿宋_GB2312" w:cs="仿宋_GB2312"/>
                <w:i w:val="0"/>
                <w:iCs w:val="0"/>
                <w:sz w:val="18"/>
                <w:szCs w:val="18"/>
                <w:highlight w:val="none"/>
                <w:u w:val="single"/>
                <w:lang w:val="en-US" w:eastAsia="zh-CN"/>
              </w:rPr>
              <w:t xml:space="preserve">            </w:t>
            </w:r>
          </w:p>
          <w:p>
            <w:pPr>
              <w:spacing w:line="440" w:lineRule="exact"/>
              <w:rPr>
                <w:rFonts w:hint="default"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rPr>
              <w:t>（4）信誉要求：</w:t>
            </w:r>
            <w:r>
              <w:rPr>
                <w:rFonts w:hint="eastAsia" w:ascii="仿宋_GB2312" w:hAnsi="仿宋_GB2312" w:eastAsia="仿宋_GB2312" w:cs="仿宋_GB2312"/>
                <w:i w:val="0"/>
                <w:iCs w:val="0"/>
                <w:sz w:val="18"/>
                <w:szCs w:val="18"/>
                <w:highlight w:val="none"/>
                <w:u w:val="single"/>
                <w:lang w:val="en-US" w:eastAsia="zh-CN"/>
              </w:rPr>
              <w:t xml:space="preserve">            </w:t>
            </w:r>
          </w:p>
          <w:p>
            <w:pPr>
              <w:spacing w:line="440" w:lineRule="exact"/>
              <w:rPr>
                <w:rFonts w:hint="default"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rPr>
              <w:t>（5）项目经理的资格要求：</w:t>
            </w:r>
            <w:r>
              <w:rPr>
                <w:rFonts w:hint="eastAsia" w:ascii="仿宋_GB2312" w:hAnsi="仿宋_GB2312" w:eastAsia="仿宋_GB2312" w:cs="仿宋_GB2312"/>
                <w:i w:val="0"/>
                <w:iCs w:val="0"/>
                <w:sz w:val="18"/>
                <w:szCs w:val="18"/>
                <w:highlight w:val="none"/>
                <w:u w:val="single"/>
                <w:lang w:val="en-US" w:eastAsia="zh-CN"/>
              </w:rPr>
              <w:t xml:space="preserve">             </w:t>
            </w:r>
          </w:p>
          <w:p>
            <w:pPr>
              <w:spacing w:line="440" w:lineRule="exact"/>
              <w:rPr>
                <w:rFonts w:hint="default"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rPr>
              <w:t>（6）技术负责人的资格要求：</w:t>
            </w:r>
            <w:r>
              <w:rPr>
                <w:rFonts w:hint="eastAsia" w:ascii="仿宋_GB2312" w:hAnsi="仿宋_GB2312" w:eastAsia="仿宋_GB2312" w:cs="仿宋_GB2312"/>
                <w:i w:val="0"/>
                <w:iCs w:val="0"/>
                <w:sz w:val="18"/>
                <w:szCs w:val="18"/>
                <w:highlight w:val="none"/>
                <w:u w:val="single"/>
                <w:lang w:val="en-US" w:eastAsia="zh-CN"/>
              </w:rPr>
              <w:t xml:space="preserve">             </w:t>
            </w:r>
          </w:p>
          <w:p>
            <w:pPr>
              <w:spacing w:line="440" w:lineRule="exact"/>
              <w:rPr>
                <w:rFonts w:hint="default" w:ascii="仿宋_GB2312" w:hAnsi="仿宋_GB2312" w:eastAsia="仿宋_GB2312" w:cs="仿宋_GB2312"/>
                <w:i w:val="0"/>
                <w:iCs w:val="0"/>
                <w:sz w:val="18"/>
                <w:szCs w:val="18"/>
                <w:highlight w:val="none"/>
                <w:u w:val="single"/>
              </w:rPr>
            </w:pPr>
            <w:r>
              <w:rPr>
                <w:rFonts w:hint="eastAsia" w:ascii="仿宋_GB2312" w:hAnsi="仿宋_GB2312" w:eastAsia="仿宋_GB2312" w:cs="仿宋_GB2312"/>
                <w:i w:val="0"/>
                <w:iCs w:val="0"/>
                <w:sz w:val="18"/>
                <w:szCs w:val="18"/>
                <w:highlight w:val="none"/>
              </w:rPr>
              <w:t>（7）项目管理机构及人员：</w:t>
            </w:r>
            <w:r>
              <w:rPr>
                <w:rFonts w:hint="eastAsia" w:ascii="仿宋_GB2312" w:hAnsi="仿宋_GB2312" w:eastAsia="仿宋_GB2312" w:cs="仿宋_GB2312"/>
                <w:i w:val="0"/>
                <w:iCs w:val="0"/>
                <w:sz w:val="18"/>
                <w:szCs w:val="18"/>
                <w:highlight w:val="none"/>
                <w:u w:val="single"/>
                <w:lang w:val="en-US" w:eastAsia="zh-CN"/>
              </w:rPr>
              <w:t xml:space="preserve">               </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（8）其他要求：</w:t>
            </w:r>
          </w:p>
          <w:p>
            <w:pPr>
              <w:adjustRightInd w:val="0"/>
              <w:spacing w:before="120" w:after="120" w:line="360" w:lineRule="exact"/>
              <w:ind w:firstLine="360" w:firstLineChars="2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①投标人在《</w:t>
            </w:r>
            <w:r>
              <w:rPr>
                <w:rFonts w:hint="eastAsia" w:ascii="仿宋_GB2312" w:hAnsi="仿宋_GB2312" w:eastAsia="仿宋_GB2312" w:cs="仿宋_GB2312"/>
                <w:i w:val="0"/>
                <w:iCs w:val="0"/>
                <w:sz w:val="18"/>
                <w:szCs w:val="18"/>
                <w:highlight w:val="none"/>
                <w:lang w:eastAsia="zh-CN"/>
              </w:rPr>
              <w:t>全国</w:t>
            </w:r>
            <w:r>
              <w:rPr>
                <w:rFonts w:hint="eastAsia" w:ascii="仿宋_GB2312" w:hAnsi="仿宋_GB2312" w:eastAsia="仿宋_GB2312" w:cs="仿宋_GB2312"/>
                <w:i w:val="0"/>
                <w:iCs w:val="0"/>
                <w:sz w:val="18"/>
                <w:szCs w:val="18"/>
                <w:highlight w:val="none"/>
              </w:rPr>
              <w:t>水利建设市场监管平台》企业信息完整度应达到85%及以上，提供网络截图。</w:t>
            </w:r>
          </w:p>
          <w:p>
            <w:pPr>
              <w:adjustRightInd w:val="0"/>
              <w:spacing w:before="156" w:after="156" w:line="360" w:lineRule="exact"/>
              <w:ind w:firstLine="360" w:firstLineChars="2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②承诺拟投入投标项目的建造师没有担任其他在建工程项目经理，如有违背，投标人主动放弃中标资格，承诺书格式见招标文件第八章投标文件格式。</w:t>
            </w:r>
          </w:p>
          <w:p>
            <w:pPr>
              <w:adjustRightInd w:val="0"/>
              <w:spacing w:before="156" w:after="156" w:line="360" w:lineRule="exact"/>
              <w:ind w:firstLine="360" w:firstLineChars="2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③承诺中标后按照自治区相关规定聘用西藏籍大学生，如在施工期内未完成承诺事项，将记不良行为记录一次并在全国水利建设市场监管平台公告，承诺书格式见招标文件第八章投标文件格式。</w:t>
            </w:r>
          </w:p>
          <w:p>
            <w:pPr>
              <w:adjustRightInd w:val="0"/>
              <w:spacing w:line="360" w:lineRule="exact"/>
              <w:ind w:firstLine="360" w:firstLineChars="2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④承诺中标后严格落实农民工实名制和银行代发工资制度，如在施工期内未落实好农民工实名制和银行代发工资制度，将记不良行为记录一次并在全国水利建设市场监管平台公告，承诺书格式见招标文件第八章投标文件格式。</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1.4.2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是否接受联合体投标</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□不接受</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□接受，应满足下列要求：</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1.5</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费用承担和设计成果补偿</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□不补偿</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□补偿，补偿标准：</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1.9.1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踏勘</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□不组织：</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□组织，踏勘时间：</w:t>
            </w:r>
          </w:p>
          <w:p>
            <w:pPr>
              <w:spacing w:line="440" w:lineRule="exact"/>
              <w:ind w:firstLine="720" w:firstLineChars="4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踏勘集中地点：</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1.10.1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投标预备会</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□不召开</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□召开，召开时间：</w:t>
            </w:r>
          </w:p>
          <w:p>
            <w:pPr>
              <w:spacing w:line="440" w:lineRule="exact"/>
              <w:ind w:firstLine="720" w:firstLineChars="4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召开地点：</w:t>
            </w:r>
          </w:p>
        </w:tc>
      </w:tr>
      <w:t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1.10.2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投标人提出问题的截止时间</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hint="eastAsia" w:ascii="仿宋_GB2312" w:hAnsi="仿宋_GB2312" w:eastAsia="仿宋_GB2312" w:cs="仿宋_GB2312"/>
                <w:b/>
                <w:bCs/>
                <w:i w:val="0"/>
                <w:iCs w:val="0"/>
                <w:sz w:val="18"/>
                <w:szCs w:val="18"/>
                <w:highlight w:val="none"/>
              </w:rPr>
            </w:pPr>
            <w:r>
              <w:rPr>
                <w:rFonts w:hint="eastAsia" w:ascii="仿宋_GB2312" w:hAnsi="仿宋_GB2312" w:eastAsia="仿宋_GB2312" w:cs="仿宋_GB2312"/>
                <w:b/>
                <w:bCs/>
                <w:i w:val="0"/>
                <w:iCs w:val="0"/>
                <w:sz w:val="18"/>
                <w:szCs w:val="18"/>
                <w:highlight w:val="none"/>
              </w:rPr>
              <w:t>投标人在投标预备会前提出问题</w:t>
            </w:r>
          </w:p>
          <w:p>
            <w:pPr>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时间：</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形式：相关澄清要求应通过电子交易系统提交。</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1.10.3</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招标人书面澄清的时间</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1.11.1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招标人规定由分包人承担的工作</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1.11.2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投标人拟分包的工作</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□不允许</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□允许，分包内容要求：</w:t>
            </w:r>
          </w:p>
          <w:p>
            <w:pPr>
              <w:spacing w:line="440" w:lineRule="exact"/>
              <w:ind w:firstLine="720" w:firstLineChars="4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分包金额要求：</w:t>
            </w:r>
          </w:p>
          <w:p>
            <w:pPr>
              <w:spacing w:line="440" w:lineRule="exact"/>
              <w:ind w:firstLine="720" w:firstLineChars="40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对分包人的资质要求：</w:t>
            </w:r>
          </w:p>
        </w:tc>
      </w:tr>
      <w:t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偏离</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□不允许</w:t>
            </w:r>
          </w:p>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□允许，允许偏离的内容、偏离范围和幅度</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构成招标文件的其他资料</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投标人要求澄清招标文件的截止时间</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
                <w:bCs/>
                <w:i w:val="0"/>
                <w:iCs w:val="0"/>
                <w:sz w:val="18"/>
                <w:szCs w:val="18"/>
                <w:highlight w:val="none"/>
              </w:rPr>
              <w:t>投标人要求澄清招标文件的截止时间和形式</w:t>
            </w:r>
            <w:r>
              <w:rPr>
                <w:rFonts w:hint="eastAsia" w:ascii="仿宋_GB2312" w:hAnsi="仿宋_GB2312" w:eastAsia="仿宋_GB2312" w:cs="仿宋_GB2312"/>
                <w:i w:val="0"/>
                <w:iCs w:val="0"/>
                <w:sz w:val="18"/>
                <w:szCs w:val="18"/>
                <w:highlight w:val="none"/>
              </w:rPr>
              <w:tab/>
            </w:r>
          </w:p>
          <w:p>
            <w:pPr>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时间：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月</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日</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时</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分前。</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形式：相关澄清要求应通过电子交易系统提交。</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投标截止时间</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2.2.3</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投标人确认收到招标文件澄清的时间</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2.3.2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投标人确认收到招标文件修改的时间</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3.1.1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构成投标文件的其他资料</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3.2.1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增值税税金的计算方法</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3.2.4</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最高投标限价或其计算方法</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20" w:lineRule="exact"/>
              <w:jc w:val="left"/>
              <w:textAlignment w:val="center"/>
              <w:rPr>
                <w:rFonts w:hint="eastAsia" w:ascii="仿宋_GB2312" w:hAnsi="仿宋_GB2312" w:eastAsia="仿宋_GB2312" w:cs="仿宋_GB2312"/>
                <w:b/>
                <w:bCs/>
                <w:i w:val="0"/>
                <w:iCs w:val="0"/>
                <w:kern w:val="0"/>
                <w:sz w:val="18"/>
                <w:szCs w:val="18"/>
                <w:highlight w:val="none"/>
              </w:rPr>
            </w:pPr>
            <w:r>
              <w:rPr>
                <w:rFonts w:hint="eastAsia" w:ascii="仿宋_GB2312" w:hAnsi="仿宋_GB2312" w:eastAsia="仿宋_GB2312" w:cs="仿宋_GB2312"/>
                <w:b/>
                <w:bCs/>
                <w:i w:val="0"/>
                <w:iCs w:val="0"/>
                <w:kern w:val="0"/>
                <w:sz w:val="18"/>
                <w:szCs w:val="18"/>
                <w:highlight w:val="none"/>
              </w:rPr>
              <w:t>最高投标限价：</w:t>
            </w:r>
          </w:p>
          <w:p>
            <w:pPr>
              <w:autoSpaceDE w:val="0"/>
              <w:autoSpaceDN w:val="0"/>
              <w:adjustRightInd w:val="0"/>
              <w:spacing w:line="320" w:lineRule="exact"/>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发布时间：投标截止时间15日前</w:t>
            </w:r>
            <w:r>
              <w:rPr>
                <w:rFonts w:hint="eastAsia" w:ascii="仿宋_GB2312" w:hAnsi="仿宋_GB2312" w:eastAsia="仿宋_GB2312" w:cs="仿宋_GB2312"/>
                <w:b/>
                <w:i w:val="0"/>
                <w:iCs w:val="0"/>
                <w:kern w:val="0"/>
                <w:sz w:val="18"/>
                <w:szCs w:val="18"/>
                <w:highlight w:val="none"/>
              </w:rPr>
              <w:t>（说明：或在发布招标文件时同时发布）</w:t>
            </w:r>
            <w:r>
              <w:rPr>
                <w:rFonts w:hint="eastAsia" w:ascii="仿宋_GB2312" w:hAnsi="仿宋_GB2312" w:eastAsia="仿宋_GB2312" w:cs="仿宋_GB2312"/>
                <w:i w:val="0"/>
                <w:iCs w:val="0"/>
                <w:kern w:val="0"/>
                <w:sz w:val="18"/>
                <w:szCs w:val="18"/>
                <w:highlight w:val="none"/>
              </w:rPr>
              <w:t>。</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发布方式：在</w:t>
            </w:r>
            <w:r>
              <w:rPr>
                <w:rFonts w:hint="eastAsia" w:ascii="仿宋_GB2312" w:hAnsi="仿宋_GB2312" w:eastAsia="仿宋_GB2312" w:cs="仿宋_GB2312"/>
                <w:bCs/>
                <w:i w:val="0"/>
                <w:iCs w:val="0"/>
                <w:snapToGrid w:val="0"/>
                <w:kern w:val="0"/>
                <w:sz w:val="18"/>
                <w:szCs w:val="18"/>
                <w:highlight w:val="none"/>
                <w:u w:val="single"/>
              </w:rPr>
              <w:t>电子</w:t>
            </w:r>
            <w:r>
              <w:rPr>
                <w:rFonts w:hint="eastAsia" w:ascii="仿宋_GB2312" w:hAnsi="仿宋_GB2312" w:eastAsia="仿宋_GB2312" w:cs="仿宋_GB2312"/>
                <w:bCs/>
                <w:i w:val="0"/>
                <w:iCs w:val="0"/>
                <w:snapToGrid w:val="0"/>
                <w:kern w:val="0"/>
                <w:sz w:val="18"/>
                <w:szCs w:val="18"/>
                <w:highlight w:val="none"/>
              </w:rPr>
              <w:t>交易</w:t>
            </w:r>
            <w:r>
              <w:rPr>
                <w:rFonts w:hint="eastAsia" w:ascii="仿宋_GB2312" w:hAnsi="仿宋_GB2312" w:eastAsia="仿宋_GB2312" w:cs="仿宋_GB2312"/>
                <w:bCs/>
                <w:i w:val="0"/>
                <w:iCs w:val="0"/>
                <w:snapToGrid w:val="0"/>
                <w:kern w:val="0"/>
                <w:sz w:val="18"/>
                <w:szCs w:val="18"/>
                <w:highlight w:val="none"/>
                <w:u w:val="single"/>
              </w:rPr>
              <w:t>系统</w:t>
            </w:r>
            <w:r>
              <w:rPr>
                <w:rFonts w:hint="eastAsia" w:ascii="仿宋_GB2312" w:hAnsi="仿宋_GB2312" w:eastAsia="仿宋_GB2312" w:cs="仿宋_GB2312"/>
                <w:i w:val="0"/>
                <w:iCs w:val="0"/>
                <w:kern w:val="0"/>
                <w:sz w:val="18"/>
                <w:szCs w:val="18"/>
                <w:highlight w:val="none"/>
              </w:rPr>
              <w:t>发布。</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3.2.5</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投标报价的其他要求</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投标报价的其他要求</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（1）招标代理服务费：</w:t>
            </w:r>
          </w:p>
          <w:p>
            <w:pPr>
              <w:spacing w:line="360" w:lineRule="auto"/>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（2）工程交易服务费：</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3.3.1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投标有效期</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rPr>
          <w:trHeight w:val="1103" w:hRule="atLeast"/>
        </w:trP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3.4.1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投标保证金</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360" w:lineRule="auto"/>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是否要求投标人递交投标保证金：</w:t>
            </w:r>
          </w:p>
          <w:p>
            <w:pPr>
              <w:spacing w:line="360" w:lineRule="auto"/>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□要求</w:t>
            </w:r>
          </w:p>
          <w:p>
            <w:pPr>
              <w:spacing w:line="360" w:lineRule="auto"/>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投标保证金的形式：</w:t>
            </w:r>
            <w:r>
              <w:rPr>
                <w:rFonts w:hint="eastAsia" w:ascii="仿宋_GB2312" w:hAnsi="仿宋_GB2312" w:eastAsia="仿宋_GB2312" w:cs="仿宋_GB2312"/>
                <w:i w:val="0"/>
                <w:iCs w:val="0"/>
                <w:sz w:val="18"/>
                <w:szCs w:val="18"/>
                <w:highlight w:val="none"/>
                <w:u w:val="single"/>
              </w:rPr>
              <w:t>保函或电汇或转账或保险</w:t>
            </w:r>
            <w:r>
              <w:rPr>
                <w:rFonts w:hint="eastAsia" w:ascii="仿宋_GB2312" w:hAnsi="仿宋_GB2312" w:eastAsia="仿宋_GB2312" w:cs="仿宋_GB2312"/>
                <w:i w:val="0"/>
                <w:iCs w:val="0"/>
                <w:sz w:val="18"/>
                <w:szCs w:val="18"/>
                <w:highlight w:val="none"/>
              </w:rPr>
              <w:t>。</w:t>
            </w:r>
          </w:p>
          <w:p>
            <w:pPr>
              <w:spacing w:line="360" w:lineRule="auto"/>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投标保证金的金额：</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递交方式：</w:t>
            </w:r>
          </w:p>
          <w:p>
            <w:pPr>
              <w:snapToGrid w:val="0"/>
              <w:spacing w:line="360" w:lineRule="auto"/>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（1）采用电汇或转账</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①投标保证金的到账截止时间：同投标截止时间</w:t>
            </w:r>
          </w:p>
          <w:p>
            <w:pPr>
              <w:snapToGrid w:val="0"/>
              <w:spacing w:line="360" w:lineRule="auto"/>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②应当从其基本账户转出，</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b/>
                <w:bCs/>
                <w:i w:val="0"/>
                <w:iCs w:val="0"/>
                <w:snapToGrid w:val="0"/>
                <w:kern w:val="0"/>
                <w:sz w:val="18"/>
                <w:szCs w:val="18"/>
                <w:highlight w:val="none"/>
              </w:rPr>
              <w:t>（说明：可根据各地公共资源交易中心具体情况作出约定）</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③转入的开户银行及账号：</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p>
            <w:pPr>
              <w:adjustRightInd w:val="0"/>
              <w:snapToGrid w:val="0"/>
              <w:spacing w:line="360" w:lineRule="auto"/>
              <w:rPr>
                <w:rFonts w:hint="eastAsia" w:ascii="仿宋_GB2312" w:hAnsi="仿宋_GB2312" w:eastAsia="仿宋_GB2312" w:cs="仿宋_GB2312"/>
                <w:b/>
                <w:bCs/>
                <w:i w:val="0"/>
                <w:iCs w:val="0"/>
                <w:snapToGrid w:val="0"/>
                <w:kern w:val="0"/>
                <w:sz w:val="18"/>
                <w:szCs w:val="18"/>
                <w:highlight w:val="none"/>
              </w:rPr>
            </w:pPr>
            <w:r>
              <w:rPr>
                <w:rFonts w:hint="eastAsia" w:ascii="仿宋_GB2312" w:hAnsi="仿宋_GB2312" w:eastAsia="仿宋_GB2312" w:cs="仿宋_GB2312"/>
                <w:b/>
                <w:i w:val="0"/>
                <w:iCs w:val="0"/>
                <w:sz w:val="18"/>
                <w:szCs w:val="18"/>
                <w:highlight w:val="none"/>
              </w:rPr>
              <w:t>（2）</w:t>
            </w:r>
            <w:r>
              <w:rPr>
                <w:rFonts w:hint="eastAsia" w:ascii="仿宋_GB2312" w:hAnsi="仿宋_GB2312" w:eastAsia="仿宋_GB2312" w:cs="仿宋_GB2312"/>
                <w:b/>
                <w:bCs/>
                <w:i w:val="0"/>
                <w:iCs w:val="0"/>
                <w:snapToGrid w:val="0"/>
                <w:kern w:val="0"/>
                <w:sz w:val="18"/>
                <w:szCs w:val="18"/>
                <w:highlight w:val="none"/>
              </w:rPr>
              <w:t>采用保函</w:t>
            </w:r>
          </w:p>
          <w:p>
            <w:pPr>
              <w:adjustRightInd w:val="0"/>
              <w:snapToGrid w:val="0"/>
              <w:spacing w:line="360" w:lineRule="auto"/>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i w:val="0"/>
                <w:iCs w:val="0"/>
                <w:sz w:val="18"/>
                <w:szCs w:val="18"/>
                <w:highlight w:val="none"/>
              </w:rPr>
              <w:t>①纸质</w:t>
            </w:r>
            <w:r>
              <w:rPr>
                <w:rFonts w:hint="eastAsia" w:ascii="仿宋_GB2312" w:hAnsi="仿宋_GB2312" w:eastAsia="仿宋_GB2312" w:cs="仿宋_GB2312"/>
                <w:bCs/>
                <w:i w:val="0"/>
                <w:iCs w:val="0"/>
                <w:snapToGrid w:val="0"/>
                <w:kern w:val="0"/>
                <w:sz w:val="18"/>
                <w:szCs w:val="18"/>
                <w:highlight w:val="none"/>
              </w:rPr>
              <w:t>保函：</w:t>
            </w:r>
            <w:r>
              <w:rPr>
                <w:rFonts w:hint="eastAsia" w:ascii="仿宋_GB2312" w:hAnsi="仿宋_GB2312" w:eastAsia="仿宋_GB2312" w:cs="仿宋_GB2312"/>
                <w:b/>
                <w:bCs/>
                <w:i w:val="0"/>
                <w:iCs w:val="0"/>
                <w:snapToGrid w:val="0"/>
                <w:kern w:val="0"/>
                <w:sz w:val="18"/>
                <w:szCs w:val="18"/>
                <w:highlight w:val="none"/>
                <w:u w:val="single"/>
              </w:rPr>
              <w:t>（说明：如接受纸质保函，可根据各地公共资源交易中心具体情况作出约定）</w:t>
            </w:r>
            <w:r>
              <w:rPr>
                <w:rFonts w:hint="eastAsia" w:ascii="仿宋_GB2312" w:hAnsi="仿宋_GB2312" w:eastAsia="仿宋_GB2312" w:cs="仿宋_GB2312"/>
                <w:bCs/>
                <w:i w:val="0"/>
                <w:iCs w:val="0"/>
                <w:snapToGrid w:val="0"/>
                <w:kern w:val="0"/>
                <w:sz w:val="18"/>
                <w:szCs w:val="18"/>
                <w:highlight w:val="none"/>
              </w:rPr>
              <w:t>。</w:t>
            </w:r>
          </w:p>
          <w:p>
            <w:pPr>
              <w:adjustRightInd w:val="0"/>
              <w:snapToGrid w:val="0"/>
              <w:spacing w:line="360" w:lineRule="auto"/>
              <w:rPr>
                <w:rFonts w:hint="eastAsia" w:ascii="仿宋_GB2312" w:hAnsi="仿宋_GB2312" w:eastAsia="仿宋_GB2312" w:cs="仿宋_GB2312"/>
                <w:b/>
                <w:bCs/>
                <w:i w:val="0"/>
                <w:iCs w:val="0"/>
                <w:snapToGrid w:val="0"/>
                <w:kern w:val="0"/>
                <w:sz w:val="18"/>
                <w:szCs w:val="18"/>
                <w:highlight w:val="none"/>
              </w:rPr>
            </w:pPr>
            <w:r>
              <w:rPr>
                <w:rFonts w:hint="eastAsia" w:ascii="仿宋_GB2312" w:hAnsi="仿宋_GB2312" w:eastAsia="仿宋_GB2312" w:cs="仿宋_GB2312"/>
                <w:i w:val="0"/>
                <w:iCs w:val="0"/>
                <w:sz w:val="18"/>
                <w:szCs w:val="18"/>
                <w:highlight w:val="none"/>
              </w:rPr>
              <w:t>②电子保函：</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b/>
                <w:bCs/>
                <w:i w:val="0"/>
                <w:iCs w:val="0"/>
                <w:snapToGrid w:val="0"/>
                <w:kern w:val="0"/>
                <w:sz w:val="18"/>
                <w:szCs w:val="18"/>
                <w:highlight w:val="none"/>
                <w:u w:val="single"/>
              </w:rPr>
              <w:t>（说明：如接受电子保函，可根据各地公共资源交易中心具体情况作出约定）</w:t>
            </w:r>
            <w:r>
              <w:rPr>
                <w:rFonts w:hint="eastAsia" w:ascii="仿宋_GB2312" w:hAnsi="仿宋_GB2312" w:eastAsia="仿宋_GB2312" w:cs="仿宋_GB2312"/>
                <w:i w:val="0"/>
                <w:iCs w:val="0"/>
                <w:sz w:val="18"/>
                <w:szCs w:val="18"/>
                <w:highlight w:val="none"/>
                <w:u w:val="single"/>
              </w:rPr>
              <w:t>。</w:t>
            </w:r>
            <w:r>
              <w:rPr>
                <w:rFonts w:hint="eastAsia" w:ascii="仿宋_GB2312" w:hAnsi="仿宋_GB2312" w:eastAsia="仿宋_GB2312" w:cs="仿宋_GB2312"/>
                <w:b/>
                <w:bCs/>
                <w:i w:val="0"/>
                <w:iCs w:val="0"/>
                <w:snapToGrid w:val="0"/>
                <w:kern w:val="0"/>
                <w:sz w:val="18"/>
                <w:szCs w:val="18"/>
                <w:highlight w:val="none"/>
              </w:rPr>
              <w:t xml:space="preserve">  </w:t>
            </w:r>
          </w:p>
          <w:p>
            <w:pPr>
              <w:snapToGrid w:val="0"/>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（3）其他要求：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b/>
                <w:bCs/>
                <w:i w:val="0"/>
                <w:iCs w:val="0"/>
                <w:snapToGrid w:val="0"/>
                <w:kern w:val="0"/>
                <w:sz w:val="18"/>
                <w:szCs w:val="18"/>
                <w:highlight w:val="none"/>
              </w:rPr>
              <w:t>（说明：可根据各地公共资源交易中心具体情况作出约定）</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□不要求</w:t>
            </w:r>
          </w:p>
        </w:tc>
      </w:tr>
      <w:tr>
        <w:tblPrEx>
          <w:tblCellMar>
            <w:top w:w="0" w:type="dxa"/>
            <w:left w:w="108" w:type="dxa"/>
            <w:bottom w:w="0" w:type="dxa"/>
            <w:right w:w="108" w:type="dxa"/>
          </w:tblCellMar>
        </w:tblPrEx>
        <w:trPr>
          <w:trHeight w:val="1103" w:hRule="atLeast"/>
        </w:trP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3.4.4</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其他可以不予退还投标保证金的情形</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3.5.2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近年财务状况</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w:t>
            </w:r>
            <w:r>
              <w:rPr>
                <w:rFonts w:hint="eastAsia" w:ascii="仿宋_GB2312" w:hAnsi="仿宋_GB2312" w:eastAsia="仿宋_GB2312" w:cs="仿宋_GB2312"/>
                <w:i w:val="0"/>
                <w:iCs w:val="0"/>
                <w:sz w:val="18"/>
                <w:szCs w:val="18"/>
                <w:highlight w:val="none"/>
                <w:u w:val="single"/>
              </w:rPr>
              <w:t xml:space="preserve">   </w:t>
            </w:r>
            <w:bookmarkStart w:id="136" w:name="_Toc256694549"/>
            <w:bookmarkStart w:id="137" w:name="_Toc256690673"/>
            <w:r>
              <w:rPr>
                <w:rFonts w:hint="eastAsia" w:ascii="仿宋_GB2312" w:hAnsi="仿宋_GB2312" w:eastAsia="仿宋_GB2312" w:cs="仿宋_GB2312"/>
                <w:i w:val="0"/>
                <w:iCs w:val="0"/>
                <w:sz w:val="18"/>
                <w:szCs w:val="18"/>
                <w:highlight w:val="none"/>
              </w:rPr>
              <w:t>年</w:t>
            </w:r>
            <w:bookmarkEnd w:id="136"/>
            <w:bookmarkEnd w:id="137"/>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3.5.3</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近年完成的类似项目</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bookmarkStart w:id="138" w:name="_Toc256690676"/>
            <w:bookmarkStart w:id="139" w:name="_Toc256694552"/>
            <w:r>
              <w:rPr>
                <w:rFonts w:hint="eastAsia" w:ascii="仿宋_GB2312" w:hAnsi="仿宋_GB2312" w:eastAsia="仿宋_GB2312" w:cs="仿宋_GB2312"/>
                <w:i w:val="0"/>
                <w:iCs w:val="0"/>
                <w:sz w:val="18"/>
                <w:szCs w:val="18"/>
                <w:highlight w:val="none"/>
              </w:rPr>
              <w:t>近</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bookmarkEnd w:id="138"/>
            <w:bookmarkEnd w:id="139"/>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月以来），以</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为准。</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3.5.4</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近年发生的诉讼及仲裁的年份要求</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近</w:t>
            </w:r>
            <w:r>
              <w:rPr>
                <w:rFonts w:hint="eastAsia" w:ascii="仿宋_GB2312" w:hAnsi="仿宋_GB2312" w:eastAsia="仿宋_GB2312" w:cs="仿宋_GB2312"/>
                <w:i w:val="0"/>
                <w:iCs w:val="0"/>
                <w:sz w:val="18"/>
                <w:szCs w:val="18"/>
                <w:highlight w:val="none"/>
                <w:u w:val="single"/>
              </w:rPr>
              <w:t xml:space="preserve"> 3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年</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月以来）</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3.6</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是否允许递交备选投标方案</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□不允许</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□允许</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3.7.4</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napToGrid w:val="0"/>
                <w:kern w:val="0"/>
                <w:sz w:val="18"/>
                <w:szCs w:val="18"/>
                <w:highlight w:val="none"/>
                <w:shd w:val="clear" w:color="auto" w:fill="FFFFFF"/>
              </w:rPr>
              <w:t>非加密投标文件递交</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auto"/>
              <w:rPr>
                <w:rFonts w:hint="eastAsia" w:ascii="仿宋_GB2312" w:eastAsia="仿宋_GB2312"/>
                <w:i w:val="0"/>
                <w:iCs w:val="0"/>
                <w:snapToGrid w:val="0"/>
                <w:color w:val="000000"/>
                <w:kern w:val="0"/>
                <w:sz w:val="18"/>
                <w:szCs w:val="18"/>
                <w:highlight w:val="none"/>
                <w:shd w:val="clear" w:color="auto" w:fill="FFFFFF"/>
              </w:rPr>
            </w:pPr>
            <w:r>
              <w:rPr>
                <w:rFonts w:hint="eastAsia" w:ascii="仿宋_GB2312" w:eastAsia="仿宋_GB2312"/>
                <w:i w:val="0"/>
                <w:iCs w:val="0"/>
                <w:snapToGrid w:val="0"/>
                <w:color w:val="000000"/>
                <w:kern w:val="0"/>
                <w:sz w:val="18"/>
                <w:szCs w:val="18"/>
                <w:highlight w:val="none"/>
                <w:shd w:val="clear" w:color="auto" w:fill="FFFFFF"/>
              </w:rPr>
              <w:t>□不接受非加密投标文件。</w:t>
            </w:r>
          </w:p>
          <w:p>
            <w:pPr>
              <w:snapToGrid w:val="0"/>
              <w:spacing w:line="360" w:lineRule="auto"/>
              <w:rPr>
                <w:rFonts w:hint="eastAsia" w:ascii="仿宋_GB2312" w:eastAsia="仿宋_GB2312"/>
                <w:i w:val="0"/>
                <w:iCs w:val="0"/>
                <w:snapToGrid w:val="0"/>
                <w:color w:val="000000"/>
                <w:kern w:val="0"/>
                <w:sz w:val="18"/>
                <w:szCs w:val="18"/>
                <w:highlight w:val="none"/>
                <w:shd w:val="clear" w:color="auto" w:fill="FFFFFF"/>
              </w:rPr>
            </w:pPr>
            <w:r>
              <w:rPr>
                <w:rFonts w:hint="eastAsia" w:ascii="仿宋_GB2312" w:eastAsia="仿宋_GB2312"/>
                <w:i w:val="0"/>
                <w:iCs w:val="0"/>
                <w:snapToGrid w:val="0"/>
                <w:color w:val="000000"/>
                <w:kern w:val="0"/>
                <w:sz w:val="18"/>
                <w:szCs w:val="18"/>
                <w:highlight w:val="none"/>
                <w:shd w:val="clear" w:color="auto" w:fill="FFFFFF"/>
              </w:rPr>
              <w:t>□接受非加密投标文件：由投标人自行确定是否递交。</w:t>
            </w:r>
          </w:p>
          <w:p>
            <w:pPr>
              <w:snapToGrid w:val="0"/>
              <w:spacing w:line="440" w:lineRule="exact"/>
              <w:rPr>
                <w:rFonts w:hint="eastAsia" w:ascii="仿宋_GB2312" w:hAnsi="仿宋_GB2312" w:eastAsia="仿宋_GB2312" w:cs="仿宋_GB2312"/>
                <w:i w:val="0"/>
                <w:iCs w:val="0"/>
                <w:snapToGrid w:val="0"/>
                <w:kern w:val="0"/>
                <w:sz w:val="18"/>
                <w:szCs w:val="18"/>
                <w:highlight w:val="none"/>
                <w:shd w:val="clear" w:color="auto" w:fill="FFFFFF"/>
              </w:rPr>
            </w:pPr>
            <w:r>
              <w:rPr>
                <w:rFonts w:hint="eastAsia" w:ascii="仿宋_GB2312" w:hAnsi="仿宋_GB2312" w:eastAsia="仿宋_GB2312" w:cs="仿宋_GB2312"/>
                <w:i w:val="0"/>
                <w:iCs w:val="0"/>
                <w:snapToGrid w:val="0"/>
                <w:kern w:val="0"/>
                <w:sz w:val="18"/>
                <w:szCs w:val="18"/>
                <w:highlight w:val="none"/>
                <w:shd w:val="clear" w:color="auto" w:fill="FFFFFF"/>
              </w:rPr>
              <w:t>如递交，应在投标截止时间前在开标地点递交，并提供以下证明材料，否则招标人不予接收。</w:t>
            </w:r>
          </w:p>
          <w:p>
            <w:pPr>
              <w:snapToGrid w:val="0"/>
              <w:spacing w:line="440" w:lineRule="exact"/>
              <w:rPr>
                <w:rFonts w:hint="eastAsia" w:ascii="仿宋_GB2312" w:hAnsi="仿宋_GB2312" w:eastAsia="仿宋_GB2312" w:cs="仿宋_GB2312"/>
                <w:i w:val="0"/>
                <w:iCs w:val="0"/>
                <w:snapToGrid w:val="0"/>
                <w:kern w:val="0"/>
                <w:sz w:val="18"/>
                <w:szCs w:val="18"/>
                <w:highlight w:val="none"/>
                <w:shd w:val="clear" w:color="auto" w:fill="FFFFFF"/>
              </w:rPr>
            </w:pPr>
            <w:r>
              <w:rPr>
                <w:rFonts w:hint="eastAsia" w:ascii="仿宋_GB2312" w:hAnsi="仿宋_GB2312" w:eastAsia="仿宋_GB2312" w:cs="仿宋_GB2312"/>
                <w:i w:val="0"/>
                <w:iCs w:val="0"/>
                <w:snapToGrid w:val="0"/>
                <w:kern w:val="0"/>
                <w:sz w:val="18"/>
                <w:szCs w:val="18"/>
                <w:highlight w:val="none"/>
                <w:shd w:val="clear" w:color="auto" w:fill="FFFFFF"/>
              </w:rPr>
              <w:t>（1）法定代表人亲自递交的，应提供法定代表人身份证明和法定代表人的有效身份证件；</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napToGrid w:val="0"/>
                <w:kern w:val="0"/>
                <w:sz w:val="18"/>
                <w:szCs w:val="18"/>
                <w:highlight w:val="none"/>
                <w:shd w:val="clear" w:color="auto" w:fill="FFFFFF"/>
              </w:rPr>
              <w:t>（2）委托代理人递交的，应提供授权委托书和委托代理人的有效身份证件。</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3.7.6</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napToGrid w:val="0"/>
                <w:kern w:val="0"/>
                <w:sz w:val="18"/>
                <w:szCs w:val="18"/>
                <w:highlight w:val="none"/>
                <w:shd w:val="clear" w:color="auto" w:fill="FFFFFF"/>
              </w:rPr>
            </w:pPr>
            <w:r>
              <w:rPr>
                <w:rFonts w:hint="eastAsia" w:ascii="仿宋_GB2312" w:hAnsi="仿宋_GB2312" w:eastAsia="仿宋_GB2312" w:cs="仿宋_GB2312"/>
                <w:i w:val="0"/>
                <w:iCs w:val="0"/>
                <w:sz w:val="18"/>
                <w:szCs w:val="18"/>
                <w:highlight w:val="none"/>
              </w:rPr>
              <w:t>投标文件技术标是否采用暗标</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□不采用</w:t>
            </w:r>
          </w:p>
          <w:p>
            <w:pPr>
              <w:snapToGrid w:val="0"/>
              <w:spacing w:line="440" w:lineRule="exact"/>
              <w:rPr>
                <w:rFonts w:hint="eastAsia" w:ascii="仿宋_GB2312" w:hAnsi="仿宋_GB2312" w:eastAsia="仿宋_GB2312" w:cs="仿宋_GB2312"/>
                <w:i w:val="0"/>
                <w:iCs w:val="0"/>
                <w:snapToGrid w:val="0"/>
                <w:kern w:val="0"/>
                <w:sz w:val="18"/>
                <w:szCs w:val="18"/>
                <w:highlight w:val="none"/>
                <w:shd w:val="clear" w:color="auto" w:fill="FFFFFF"/>
              </w:rPr>
            </w:pPr>
            <w:r>
              <w:rPr>
                <w:rFonts w:hint="eastAsia" w:ascii="仿宋_GB2312" w:hAnsi="仿宋_GB2312" w:eastAsia="仿宋_GB2312" w:cs="仿宋_GB2312"/>
                <w:i w:val="0"/>
                <w:iCs w:val="0"/>
                <w:sz w:val="18"/>
                <w:szCs w:val="18"/>
                <w:highlight w:val="none"/>
              </w:rPr>
              <w:t>□采用</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4.1.2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napToGrid w:val="0"/>
                <w:kern w:val="0"/>
                <w:sz w:val="18"/>
                <w:szCs w:val="18"/>
                <w:highlight w:val="none"/>
                <w:shd w:val="clear" w:color="auto" w:fill="FFFFFF"/>
              </w:rPr>
              <w:t>非加密投标文件电子介质(光盘、U盘等，</w:t>
            </w:r>
            <w:r>
              <w:rPr>
                <w:rFonts w:hint="eastAsia" w:ascii="仿宋_GB2312" w:hAnsi="仿宋_GB2312" w:eastAsia="仿宋_GB2312" w:cs="仿宋_GB2312"/>
                <w:b/>
                <w:bCs/>
                <w:i w:val="0"/>
                <w:iCs w:val="0"/>
                <w:snapToGrid w:val="0"/>
                <w:kern w:val="0"/>
                <w:sz w:val="18"/>
                <w:szCs w:val="18"/>
                <w:highlight w:val="none"/>
                <w:shd w:val="clear" w:color="auto" w:fill="FFFFFF"/>
              </w:rPr>
              <w:t>说明：具体</w:t>
            </w:r>
            <w:r>
              <w:rPr>
                <w:rFonts w:hint="eastAsia" w:ascii="仿宋_GB2312" w:hAnsi="仿宋_GB2312" w:eastAsia="仿宋_GB2312" w:cs="仿宋_GB2312"/>
                <w:b/>
                <w:bCs/>
                <w:i w:val="0"/>
                <w:iCs w:val="0"/>
                <w:snapToGrid w:val="0"/>
                <w:kern w:val="0"/>
                <w:sz w:val="18"/>
                <w:szCs w:val="18"/>
                <w:highlight w:val="none"/>
                <w:u w:val="single"/>
              </w:rPr>
              <w:t>可根据各地公共资源交易中心具体情况作出约定</w:t>
            </w:r>
            <w:r>
              <w:rPr>
                <w:rFonts w:hint="eastAsia" w:ascii="仿宋_GB2312" w:hAnsi="仿宋_GB2312" w:eastAsia="仿宋_GB2312" w:cs="仿宋_GB2312"/>
                <w:i w:val="0"/>
                <w:iCs w:val="0"/>
                <w:snapToGrid w:val="0"/>
                <w:kern w:val="0"/>
                <w:sz w:val="18"/>
                <w:szCs w:val="18"/>
                <w:highlight w:val="none"/>
                <w:shd w:val="clear" w:color="auto" w:fill="FFFFFF"/>
              </w:rPr>
              <w:t xml:space="preserve">  )及投标保函密封和标记要求</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非加密投标文件介质封套：</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投标人的地址：</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投标人名称：</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(项目名称)</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 xml:space="preserve"> （标段名称）</w:t>
            </w:r>
            <w:r>
              <w:rPr>
                <w:rFonts w:hint="eastAsia" w:ascii="仿宋_GB2312" w:hAnsi="仿宋_GB2312" w:eastAsia="仿宋_GB2312" w:cs="仿宋_GB2312"/>
                <w:bCs/>
                <w:i w:val="0"/>
                <w:iCs w:val="0"/>
                <w:snapToGrid w:val="0"/>
                <w:kern w:val="0"/>
                <w:sz w:val="18"/>
                <w:szCs w:val="18"/>
                <w:highlight w:val="none"/>
              </w:rPr>
              <w:t>投标文件</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（非加密投标文件介质）</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在</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年</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月</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日</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时</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分前不得开启</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投标保函封套：</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投标人的地址：</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投标人名称：</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(项目名称)</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 xml:space="preserve"> （标段名称）</w:t>
            </w:r>
            <w:r>
              <w:rPr>
                <w:rFonts w:hint="eastAsia" w:ascii="仿宋_GB2312" w:hAnsi="仿宋_GB2312" w:eastAsia="仿宋_GB2312" w:cs="仿宋_GB2312"/>
                <w:bCs/>
                <w:i w:val="0"/>
                <w:iCs w:val="0"/>
                <w:snapToGrid w:val="0"/>
                <w:kern w:val="0"/>
                <w:sz w:val="18"/>
                <w:szCs w:val="18"/>
                <w:highlight w:val="none"/>
              </w:rPr>
              <w:t>投标文件</w:t>
            </w:r>
          </w:p>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（投标保函）</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在</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年</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月</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日</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时</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bCs/>
                <w:i w:val="0"/>
                <w:iCs w:val="0"/>
                <w:snapToGrid w:val="0"/>
                <w:kern w:val="0"/>
                <w:sz w:val="18"/>
                <w:szCs w:val="18"/>
                <w:highlight w:val="none"/>
              </w:rPr>
              <w:t>分前不得开启</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4.2.1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投标截止时间</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投标截止时间为：</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注：投标截止时间以电子交易系统显示的时间为准，逾期系统将自动关闭, 未完成上传的投标文件将被拒绝。</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4.2.2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递交非加密</w:t>
            </w:r>
            <w:r>
              <w:rPr>
                <w:rFonts w:hint="eastAsia" w:ascii="仿宋_GB2312" w:hAnsi="仿宋_GB2312" w:eastAsia="仿宋_GB2312" w:cs="仿宋_GB2312"/>
                <w:i w:val="0"/>
                <w:iCs w:val="0"/>
                <w:snapToGrid w:val="0"/>
                <w:kern w:val="0"/>
                <w:sz w:val="18"/>
                <w:szCs w:val="18"/>
                <w:highlight w:val="none"/>
                <w:shd w:val="clear" w:color="auto" w:fill="FFFFFF"/>
              </w:rPr>
              <w:t>电子</w:t>
            </w:r>
            <w:r>
              <w:rPr>
                <w:rFonts w:hint="eastAsia" w:ascii="仿宋_GB2312" w:hAnsi="仿宋_GB2312" w:eastAsia="仿宋_GB2312" w:cs="仿宋_GB2312"/>
                <w:i w:val="0"/>
                <w:iCs w:val="0"/>
                <w:sz w:val="18"/>
                <w:szCs w:val="18"/>
                <w:highlight w:val="none"/>
              </w:rPr>
              <w:t>投标文件地点</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同开标地点</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4.2.3</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是否退还投标文件</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spacing w:line="440" w:lineRule="exact"/>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否</w:t>
            </w:r>
          </w:p>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 是（指非加密投标文件），退还时间：</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4.2.3</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是否退还投标文件</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eastAsia"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□否</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w:t>
            </w:r>
          </w:p>
        </w:tc>
      </w:tr>
      <w:tr>
        <w:tblPrEx>
          <w:tblCellMar>
            <w:top w:w="0" w:type="dxa"/>
            <w:left w:w="108" w:type="dxa"/>
            <w:bottom w:w="0" w:type="dxa"/>
            <w:right w:w="108" w:type="dxa"/>
          </w:tblCellMar>
        </w:tblPrEx>
        <w:trPr>
          <w:trHeight w:val="880" w:hRule="atLeast"/>
        </w:trPr>
        <w:tc>
          <w:tcPr>
            <w:tcW w:w="1108"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5.1</w:t>
            </w:r>
          </w:p>
        </w:tc>
        <w:tc>
          <w:tcPr>
            <w:tcW w:w="2119"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开标时间和地点</w:t>
            </w:r>
          </w:p>
        </w:tc>
        <w:tc>
          <w:tcPr>
            <w:tcW w:w="6059" w:type="dxa"/>
            <w:tcBorders>
              <w:top w:val="single" w:color="auto" w:sz="4" w:space="0"/>
              <w:left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开标时间：同投标截止时间；</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开标地点：</w:t>
            </w:r>
            <w:r>
              <w:rPr>
                <w:rFonts w:hint="eastAsia" w:ascii="仿宋_GB2312" w:hAnsi="宋体" w:eastAsia="仿宋_GB2312" w:cs="Calibri"/>
                <w:b/>
                <w:bCs/>
                <w:i w:val="0"/>
                <w:iCs w:val="0"/>
                <w:highlight w:val="none"/>
                <w:u w:val="single"/>
                <w:lang w:eastAsia="zh-CN"/>
              </w:rPr>
              <w:t>西藏自治区公共资源交易平台不见面开标大厅（可登录西藏自治区公共资源交易平台访问）</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本项目采用在线投标、开标，投标人在线开标并解密投标文件。</w:t>
            </w:r>
          </w:p>
        </w:tc>
      </w:tr>
      <w:tr>
        <w:tblPrEx>
          <w:tblCellMar>
            <w:top w:w="0" w:type="dxa"/>
            <w:left w:w="108" w:type="dxa"/>
            <w:bottom w:w="0" w:type="dxa"/>
            <w:right w:w="108" w:type="dxa"/>
          </w:tblCellMar>
        </w:tblPrEx>
        <w:trPr>
          <w:trHeight w:val="381" w:hRule="atLeast"/>
        </w:trPr>
        <w:tc>
          <w:tcPr>
            <w:tcW w:w="1108"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5.2</w:t>
            </w:r>
          </w:p>
        </w:tc>
        <w:tc>
          <w:tcPr>
            <w:tcW w:w="2119"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开标程序</w:t>
            </w:r>
          </w:p>
        </w:tc>
        <w:tc>
          <w:tcPr>
            <w:tcW w:w="6059" w:type="dxa"/>
            <w:tcBorders>
              <w:top w:val="single" w:color="auto" w:sz="4" w:space="0"/>
              <w:left w:val="single" w:color="auto" w:sz="4" w:space="0"/>
              <w:right w:val="single" w:color="auto" w:sz="4" w:space="0"/>
            </w:tcBorders>
            <w:noWrap w:val="0"/>
            <w:vAlign w:val="center"/>
          </w:tcPr>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i w:val="0"/>
                <w:iCs w:val="0"/>
                <w:sz w:val="18"/>
                <w:szCs w:val="18"/>
                <w:highlight w:val="none"/>
              </w:rPr>
              <w:t>（4）解密时间：</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分钟</w:t>
            </w:r>
            <w:r>
              <w:rPr>
                <w:rFonts w:hint="eastAsia" w:ascii="仿宋_GB2312" w:hAnsi="仿宋_GB2312" w:eastAsia="仿宋_GB2312" w:cs="仿宋_GB2312"/>
                <w:bCs/>
                <w:i w:val="0"/>
                <w:iCs w:val="0"/>
                <w:snapToGrid w:val="0"/>
                <w:kern w:val="0"/>
                <w:sz w:val="18"/>
                <w:szCs w:val="18"/>
                <w:highlight w:val="none"/>
              </w:rPr>
              <w:t>（以电子交易系统解密倒计时为准）；</w:t>
            </w:r>
          </w:p>
          <w:p>
            <w:pPr>
              <w:snapToGrid w:val="0"/>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注：①投标人应在投标截止时间以前登录电子交易系统并保持在线，直到项目评审结束;</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②加密和解密须用同一数字证书。</w:t>
            </w:r>
          </w:p>
        </w:tc>
      </w:tr>
      <w:tr>
        <w:tblPrEx>
          <w:tblCellMar>
            <w:top w:w="0" w:type="dxa"/>
            <w:left w:w="108" w:type="dxa"/>
            <w:bottom w:w="0" w:type="dxa"/>
            <w:right w:w="108" w:type="dxa"/>
          </w:tblCellMar>
        </w:tblPrEx>
        <w:trPr>
          <w:trHeight w:val="880" w:hRule="atLeast"/>
        </w:trP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6.1.1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评标委员会的组建</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评标委员会构成：</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人</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其中招标人代表</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人，专家</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人；</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评标专家确定方式：</w:t>
            </w:r>
          </w:p>
        </w:tc>
      </w:tr>
      <w:tr>
        <w:tblPrEx>
          <w:tblCellMar>
            <w:top w:w="0" w:type="dxa"/>
            <w:left w:w="108" w:type="dxa"/>
            <w:bottom w:w="0" w:type="dxa"/>
            <w:right w:w="108" w:type="dxa"/>
          </w:tblCellMar>
        </w:tblPrEx>
        <w:trPr>
          <w:trHeight w:val="880" w:hRule="atLeast"/>
        </w:trP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是否授权评标委员会确定中标人</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□是</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□否，推荐的中标候选人数：</w:t>
            </w:r>
          </w:p>
        </w:tc>
      </w:tr>
      <w:tr>
        <w:tblPrEx>
          <w:tblCellMar>
            <w:top w:w="0" w:type="dxa"/>
            <w:left w:w="108" w:type="dxa"/>
            <w:bottom w:w="0" w:type="dxa"/>
            <w:right w:w="108" w:type="dxa"/>
          </w:tblCellMar>
        </w:tblPrEx>
        <w:trPr>
          <w:trHeight w:val="880" w:hRule="atLeast"/>
        </w:trPr>
        <w:tc>
          <w:tcPr>
            <w:tcW w:w="1108"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7.2</w:t>
            </w:r>
          </w:p>
        </w:tc>
        <w:tc>
          <w:tcPr>
            <w:tcW w:w="2119"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中标候选人公示媒介</w:t>
            </w:r>
          </w:p>
        </w:tc>
        <w:tc>
          <w:tcPr>
            <w:tcW w:w="6059" w:type="dxa"/>
            <w:tcBorders>
              <w:top w:val="single" w:color="auto" w:sz="4" w:space="0"/>
              <w:left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中标候选人公示媒介和期限</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中标候选人将在</w:t>
            </w:r>
            <w:r>
              <w:rPr>
                <w:rFonts w:hint="eastAsia" w:ascii="仿宋_GB2312" w:hAnsi="宋体" w:eastAsia="仿宋_GB2312"/>
                <w:i w:val="0"/>
                <w:iCs w:val="0"/>
                <w:sz w:val="18"/>
                <w:szCs w:val="18"/>
                <w:highlight w:val="none"/>
                <w:u w:val="single"/>
                <w:lang w:val="en-US" w:eastAsia="zh-CN"/>
              </w:rPr>
              <w:t>《</w:t>
            </w:r>
            <w:r>
              <w:rPr>
                <w:rFonts w:hint="eastAsia" w:ascii="仿宋_GB2312" w:hAnsi="宋体" w:eastAsia="仿宋_GB2312" w:cs="楷体"/>
                <w:bCs/>
                <w:i w:val="0"/>
                <w:iCs w:val="0"/>
                <w:snapToGrid w:val="0"/>
                <w:kern w:val="0"/>
                <w:sz w:val="18"/>
                <w:szCs w:val="18"/>
                <w:highlight w:val="none"/>
                <w:u w:val="single"/>
              </w:rPr>
              <w:t>西藏自治区</w:t>
            </w:r>
            <w:r>
              <w:rPr>
                <w:rFonts w:hint="eastAsia" w:ascii="仿宋_GB2312" w:hAnsi="宋体" w:eastAsia="仿宋_GB2312" w:cs="楷体"/>
                <w:bCs/>
                <w:i w:val="0"/>
                <w:iCs w:val="0"/>
                <w:snapToGrid w:val="0"/>
                <w:kern w:val="0"/>
                <w:sz w:val="18"/>
                <w:szCs w:val="18"/>
                <w:highlight w:val="none"/>
                <w:u w:val="single"/>
                <w:lang w:eastAsia="zh-CN"/>
              </w:rPr>
              <w:t>公共资源交易网</w:t>
            </w:r>
            <w:r>
              <w:rPr>
                <w:rFonts w:hint="eastAsia" w:ascii="仿宋_GB2312" w:hAnsi="宋体" w:eastAsia="仿宋_GB2312"/>
                <w:i w:val="0"/>
                <w:iCs w:val="0"/>
                <w:sz w:val="18"/>
                <w:szCs w:val="18"/>
                <w:highlight w:val="none"/>
                <w:u w:val="single"/>
                <w:lang w:val="en-US" w:eastAsia="zh-CN"/>
              </w:rPr>
              <w:t>》《中国招标投标公共服务平台》 《</w:t>
            </w:r>
            <w:r>
              <w:rPr>
                <w:rFonts w:hint="eastAsia" w:ascii="仿宋_GB2312" w:hAnsi="宋体" w:eastAsia="仿宋_GB2312" w:cs="楷体"/>
                <w:bCs/>
                <w:i w:val="0"/>
                <w:iCs w:val="0"/>
                <w:snapToGrid w:val="0"/>
                <w:kern w:val="0"/>
                <w:sz w:val="18"/>
                <w:szCs w:val="18"/>
                <w:highlight w:val="none"/>
                <w:u w:val="single"/>
                <w:lang w:eastAsia="zh-CN"/>
              </w:rPr>
              <w:t>西藏自治区</w:t>
            </w:r>
            <w:r>
              <w:rPr>
                <w:rFonts w:hint="eastAsia" w:ascii="仿宋_GB2312" w:hAnsi="宋体" w:eastAsia="仿宋_GB2312" w:cs="楷体"/>
                <w:bCs/>
                <w:i w:val="0"/>
                <w:iCs w:val="0"/>
                <w:snapToGrid w:val="0"/>
                <w:kern w:val="0"/>
                <w:sz w:val="18"/>
                <w:szCs w:val="18"/>
                <w:highlight w:val="none"/>
                <w:u w:val="single"/>
              </w:rPr>
              <w:t>水利网</w:t>
            </w:r>
            <w:r>
              <w:rPr>
                <w:rFonts w:hint="eastAsia" w:ascii="仿宋_GB2312" w:hAnsi="宋体" w:eastAsia="仿宋_GB2312"/>
                <w:i w:val="0"/>
                <w:iCs w:val="0"/>
                <w:sz w:val="18"/>
                <w:szCs w:val="18"/>
                <w:highlight w:val="none"/>
                <w:u w:val="single"/>
                <w:lang w:val="en-US" w:eastAsia="zh-CN"/>
              </w:rPr>
              <w:t>》</w:t>
            </w:r>
            <w:r>
              <w:rPr>
                <w:rFonts w:hint="eastAsia" w:ascii="仿宋_GB2312" w:hAnsi="仿宋_GB2312" w:eastAsia="仿宋_GB2312" w:cs="仿宋_GB2312"/>
                <w:i w:val="0"/>
                <w:iCs w:val="0"/>
                <w:sz w:val="18"/>
                <w:szCs w:val="18"/>
                <w:highlight w:val="none"/>
              </w:rPr>
              <w:t xml:space="preserve">……，公示期 </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日（说明：公示期截止时间在法定休息日的应顺延至首个工作日）。</w:t>
            </w:r>
          </w:p>
        </w:tc>
      </w:tr>
      <w:tr>
        <w:tblPrEx>
          <w:tblCellMar>
            <w:top w:w="0" w:type="dxa"/>
            <w:left w:w="108" w:type="dxa"/>
            <w:bottom w:w="0" w:type="dxa"/>
            <w:right w:w="108" w:type="dxa"/>
          </w:tblCellMar>
        </w:tblPrEx>
        <w:trPr>
          <w:trHeight w:val="880" w:hRule="atLeast"/>
        </w:trPr>
        <w:tc>
          <w:tcPr>
            <w:tcW w:w="1108"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7.3</w:t>
            </w:r>
          </w:p>
        </w:tc>
        <w:tc>
          <w:tcPr>
            <w:tcW w:w="2119" w:type="dxa"/>
            <w:tcBorders>
              <w:top w:val="single" w:color="auto" w:sz="4" w:space="0"/>
              <w:left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中标通知书和中标结果通知发出的形式</w:t>
            </w:r>
          </w:p>
        </w:tc>
        <w:tc>
          <w:tcPr>
            <w:tcW w:w="6059" w:type="dxa"/>
            <w:tcBorders>
              <w:top w:val="single" w:color="auto" w:sz="4" w:space="0"/>
              <w:left w:val="single" w:color="auto" w:sz="4" w:space="0"/>
              <w:right w:val="single" w:color="auto" w:sz="4" w:space="0"/>
            </w:tcBorders>
            <w:noWrap w:val="0"/>
            <w:vAlign w:val="center"/>
          </w:tcPr>
          <w:p>
            <w:pPr>
              <w:jc w:val="left"/>
              <w:textAlignment w:val="center"/>
              <w:rPr>
                <w:rFonts w:hint="eastAsia" w:ascii="仿宋_GB2312" w:hAnsi="仿宋_GB2312" w:eastAsia="仿宋_GB2312" w:cs="仿宋_GB2312"/>
                <w:i w:val="0"/>
                <w:iCs w:val="0"/>
                <w:sz w:val="18"/>
                <w:szCs w:val="18"/>
                <w:highlight w:val="none"/>
              </w:rPr>
            </w:pPr>
          </w:p>
          <w:p>
            <w:pPr>
              <w:spacing w:line="360" w:lineRule="auto"/>
              <w:ind w:firstLine="1" w:firstLineChars="1"/>
              <w:jc w:val="left"/>
              <w:textAlignment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（1）中标通知书发出的形式：□书面  □数据电文</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（2）中标结果通知发出的形式：</w:t>
            </w:r>
            <w:r>
              <w:rPr>
                <w:rFonts w:hint="eastAsia" w:ascii="仿宋_GB2312" w:hAnsi="宋体" w:eastAsia="仿宋_GB2312" w:cs="Calibri"/>
                <w:i w:val="0"/>
                <w:iCs w:val="0"/>
                <w:sz w:val="18"/>
                <w:szCs w:val="18"/>
                <w:highlight w:val="none"/>
              </w:rPr>
              <w:t>□书面</w:t>
            </w:r>
            <w:r>
              <w:rPr>
                <w:rFonts w:hint="eastAsia" w:ascii="仿宋_GB2312" w:hAnsi="仿宋_GB2312" w:eastAsia="仿宋_GB2312" w:cs="仿宋_GB2312"/>
                <w:i w:val="0"/>
                <w:iCs w:val="0"/>
                <w:sz w:val="18"/>
                <w:szCs w:val="18"/>
                <w:highlight w:val="none"/>
                <w:lang w:val="en-US" w:eastAsia="zh-CN"/>
              </w:rPr>
              <w:t xml:space="preserve"> </w:t>
            </w:r>
            <w:r>
              <w:rPr>
                <w:rFonts w:hint="eastAsia" w:ascii="仿宋_GB2312" w:hAnsi="仿宋_GB2312" w:eastAsia="仿宋_GB2312" w:cs="仿宋_GB2312"/>
                <w:i w:val="0"/>
                <w:iCs w:val="0"/>
                <w:sz w:val="18"/>
                <w:szCs w:val="18"/>
                <w:highlight w:val="none"/>
              </w:rPr>
              <w:t>□数据电文</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7.4.1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履约担保</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是否要求中标人提交履约保证金：</w:t>
            </w:r>
          </w:p>
          <w:p>
            <w:pPr>
              <w:autoSpaceDE w:val="0"/>
              <w:autoSpaceDN w:val="0"/>
              <w:adjustRightInd w:val="0"/>
              <w:spacing w:line="360" w:lineRule="auto"/>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i w:val="0"/>
                <w:iCs w:val="0"/>
                <w:kern w:val="0"/>
                <w:sz w:val="18"/>
                <w:szCs w:val="18"/>
                <w:highlight w:val="none"/>
              </w:rPr>
              <w:t>不要求</w:t>
            </w:r>
          </w:p>
          <w:p>
            <w:pPr>
              <w:autoSpaceDE w:val="0"/>
              <w:autoSpaceDN w:val="0"/>
              <w:adjustRightInd w:val="0"/>
              <w:spacing w:line="360" w:lineRule="auto"/>
              <w:jc w:val="left"/>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i w:val="0"/>
                <w:iCs w:val="0"/>
                <w:kern w:val="0"/>
                <w:sz w:val="18"/>
                <w:szCs w:val="18"/>
                <w:highlight w:val="none"/>
              </w:rPr>
              <w:t>要求，</w:t>
            </w:r>
            <w:r>
              <w:rPr>
                <w:rFonts w:hint="eastAsia" w:ascii="仿宋_GB2312" w:hAnsi="仿宋_GB2312" w:eastAsia="仿宋_GB2312" w:cs="仿宋_GB2312"/>
                <w:i w:val="0"/>
                <w:iCs w:val="0"/>
                <w:sz w:val="18"/>
                <w:szCs w:val="18"/>
                <w:highlight w:val="none"/>
              </w:rPr>
              <w:t>履约保证金的形式：</w:t>
            </w:r>
            <w:r>
              <w:rPr>
                <w:rFonts w:hint="eastAsia" w:ascii="仿宋_GB2312" w:hAnsi="仿宋_GB2312" w:eastAsia="仿宋_GB2312" w:cs="仿宋_GB2312"/>
                <w:b/>
                <w:i w:val="0"/>
                <w:iCs w:val="0"/>
                <w:sz w:val="18"/>
                <w:szCs w:val="18"/>
                <w:highlight w:val="none"/>
              </w:rPr>
              <w:t>履约保函或电汇或转账或保险（说明：由中标人自行选择；推荐采用履约保函）</w:t>
            </w:r>
          </w:p>
          <w:p>
            <w:pPr>
              <w:autoSpaceDE w:val="0"/>
              <w:autoSpaceDN w:val="0"/>
              <w:adjustRightInd w:val="0"/>
              <w:spacing w:line="360" w:lineRule="auto"/>
              <w:jc w:val="left"/>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履约保证金的金额：</w:t>
            </w:r>
            <w:r>
              <w:rPr>
                <w:rFonts w:hint="eastAsia" w:ascii="仿宋_GB2312" w:hAnsi="仿宋_GB2312" w:eastAsia="仿宋_GB2312" w:cs="仿宋_GB2312"/>
                <w:bCs/>
                <w:i w:val="0"/>
                <w:iCs w:val="0"/>
                <w:snapToGrid w:val="0"/>
                <w:kern w:val="0"/>
                <w:sz w:val="18"/>
                <w:szCs w:val="18"/>
                <w:highlight w:val="none"/>
                <w:u w:val="single"/>
              </w:rPr>
              <w:t xml:space="preserve">         </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b/>
                <w:i w:val="0"/>
                <w:iCs w:val="0"/>
                <w:sz w:val="18"/>
                <w:szCs w:val="18"/>
                <w:highlight w:val="none"/>
              </w:rPr>
              <w:t>。</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履约保证金的其他要求：</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w:t>
            </w:r>
          </w:p>
        </w:tc>
      </w:tr>
      <w:tr>
        <w:tblPrEx>
          <w:tblCellMar>
            <w:top w:w="0" w:type="dxa"/>
            <w:left w:w="108" w:type="dxa"/>
            <w:bottom w:w="0" w:type="dxa"/>
            <w:right w:w="108" w:type="dxa"/>
          </w:tblCellMar>
        </w:tblPrEx>
        <w:tc>
          <w:tcPr>
            <w:tcW w:w="9286"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10</w:t>
            </w:r>
          </w:p>
        </w:tc>
        <w:tc>
          <w:tcPr>
            <w:tcW w:w="8178"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需要补充的其他内容</w:t>
            </w:r>
          </w:p>
        </w:tc>
      </w:tr>
      <w:tr>
        <w:tblPrEx>
          <w:tblCellMar>
            <w:top w:w="0" w:type="dxa"/>
            <w:left w:w="108" w:type="dxa"/>
            <w:bottom w:w="0" w:type="dxa"/>
            <w:right w:w="108" w:type="dxa"/>
          </w:tblCellMar>
        </w:tblPrEx>
        <w:trPr>
          <w:trHeight w:val="912" w:hRule="atLeast"/>
        </w:trPr>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10.1</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类似项目</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类似项目指：</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w:t>
            </w:r>
            <w:r>
              <w:rPr>
                <w:rFonts w:hint="eastAsia" w:ascii="仿宋_GB2312" w:hAnsi="仿宋_GB2312" w:eastAsia="仿宋_GB2312" w:cs="仿宋_GB2312"/>
                <w:b/>
                <w:i w:val="0"/>
                <w:iCs w:val="0"/>
                <w:kern w:val="0"/>
                <w:sz w:val="18"/>
                <w:szCs w:val="18"/>
                <w:highlight w:val="none"/>
              </w:rPr>
              <w:t>说明：合同金额或规模）</w:t>
            </w:r>
            <w:r>
              <w:rPr>
                <w:rFonts w:hint="eastAsia" w:ascii="仿宋_GB2312" w:hAnsi="仿宋_GB2312" w:eastAsia="仿宋_GB2312" w:cs="仿宋_GB2312"/>
                <w:i w:val="0"/>
                <w:iCs w:val="0"/>
                <w:kern w:val="0"/>
                <w:sz w:val="18"/>
                <w:szCs w:val="18"/>
                <w:highlight w:val="none"/>
              </w:rPr>
              <w:t>及以上的</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 xml:space="preserve"> （</w:t>
            </w:r>
            <w:r>
              <w:rPr>
                <w:rFonts w:hint="eastAsia" w:ascii="仿宋_GB2312" w:hAnsi="仿宋_GB2312" w:eastAsia="仿宋_GB2312" w:cs="仿宋_GB2312"/>
                <w:b/>
                <w:i w:val="0"/>
                <w:iCs w:val="0"/>
                <w:kern w:val="0"/>
                <w:sz w:val="18"/>
                <w:szCs w:val="18"/>
                <w:highlight w:val="none"/>
              </w:rPr>
              <w:t>说明：建设性质</w:t>
            </w:r>
            <w:r>
              <w:rPr>
                <w:rFonts w:hint="eastAsia" w:ascii="仿宋_GB2312" w:hAnsi="仿宋_GB2312" w:eastAsia="仿宋_GB2312" w:cs="仿宋_GB2312"/>
                <w:i w:val="0"/>
                <w:iCs w:val="0"/>
                <w:kern w:val="0"/>
                <w:sz w:val="18"/>
                <w:szCs w:val="18"/>
                <w:highlight w:val="none"/>
              </w:rPr>
              <w:t xml:space="preserve">） </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 xml:space="preserve">  项目管理总承包</w:t>
            </w:r>
            <w:r>
              <w:rPr>
                <w:rFonts w:hint="eastAsia" w:ascii="仿宋_GB2312" w:hAnsi="仿宋_GB2312" w:eastAsia="仿宋_GB2312" w:cs="仿宋_GB2312"/>
                <w:i w:val="0"/>
                <w:iCs w:val="0"/>
                <w:kern w:val="0"/>
                <w:sz w:val="18"/>
                <w:szCs w:val="18"/>
                <w:highlight w:val="none"/>
                <w:lang w:eastAsia="zh-CN"/>
              </w:rPr>
              <w:t>项目</w:t>
            </w:r>
            <w:r>
              <w:rPr>
                <w:rFonts w:hint="eastAsia" w:ascii="仿宋_GB2312" w:hAnsi="仿宋_GB2312" w:eastAsia="仿宋_GB2312" w:cs="仿宋_GB2312"/>
                <w:i w:val="0"/>
                <w:iCs w:val="0"/>
                <w:kern w:val="0"/>
                <w:sz w:val="18"/>
                <w:szCs w:val="18"/>
                <w:highlight w:val="none"/>
              </w:rPr>
              <w:t xml:space="preserve"> </w:t>
            </w:r>
            <w:r>
              <w:rPr>
                <w:rFonts w:hint="eastAsia" w:ascii="仿宋_GB2312" w:hAnsi="仿宋_GB2312" w:eastAsia="仿宋_GB2312" w:cs="仿宋_GB2312"/>
                <w:b/>
                <w:bCs/>
                <w:i w:val="0"/>
                <w:iCs w:val="0"/>
                <w:kern w:val="0"/>
                <w:sz w:val="18"/>
                <w:szCs w:val="18"/>
                <w:highlight w:val="none"/>
              </w:rPr>
              <w:t xml:space="preserve">                           </w:t>
            </w:r>
            <w:r>
              <w:rPr>
                <w:rFonts w:hint="eastAsia" w:ascii="仿宋_GB2312" w:hAnsi="仿宋_GB2312" w:eastAsia="仿宋_GB2312" w:cs="仿宋_GB2312"/>
                <w:b/>
                <w:i w:val="0"/>
                <w:iCs w:val="0"/>
                <w:kern w:val="0"/>
                <w:sz w:val="18"/>
                <w:szCs w:val="18"/>
                <w:highlight w:val="none"/>
              </w:rPr>
              <w:t xml:space="preserve">               </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10.2</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原件</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不提供原件（投标保函除外）。</w:t>
            </w:r>
            <w:r>
              <w:rPr>
                <w:rFonts w:hint="eastAsia" w:ascii="仿宋_GB2312" w:hAnsi="仿宋_GB2312" w:eastAsia="仿宋_GB2312" w:cs="仿宋_GB2312"/>
                <w:b/>
                <w:bCs/>
                <w:i w:val="0"/>
                <w:iCs w:val="0"/>
                <w:kern w:val="0"/>
                <w:sz w:val="18"/>
                <w:szCs w:val="18"/>
                <w:highlight w:val="none"/>
              </w:rPr>
              <w:t>投标人自行对此次投标提供的所有资料和证明文件等材料的真实性负责，若弄虚作假被查实，承担相应法律责任，按规定接受相关处罚，如中标，中标结果无效。</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10.3</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项目经理的陈述与答辩</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40" w:lineRule="exact"/>
              <w:jc w:val="left"/>
              <w:textAlignment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□不要求</w:t>
            </w:r>
          </w:p>
          <w:p>
            <w:pPr>
              <w:autoSpaceDE w:val="0"/>
              <w:autoSpaceDN w:val="0"/>
              <w:adjustRightInd w:val="0"/>
              <w:spacing w:line="440" w:lineRule="exact"/>
              <w:jc w:val="left"/>
              <w:textAlignment w:val="center"/>
              <w:rPr>
                <w:rFonts w:hint="eastAsia" w:ascii="仿宋_GB2312" w:hAnsi="仿宋_GB2312" w:eastAsia="仿宋_GB2312" w:cs="仿宋_GB2312"/>
                <w:i w:val="0"/>
                <w:iCs w:val="0"/>
                <w:spacing w:val="-14"/>
                <w:sz w:val="18"/>
                <w:szCs w:val="18"/>
                <w:highlight w:val="none"/>
              </w:rPr>
            </w:pPr>
            <w:r>
              <w:rPr>
                <w:rFonts w:hint="eastAsia" w:ascii="仿宋_GB2312" w:hAnsi="仿宋_GB2312" w:eastAsia="仿宋_GB2312" w:cs="仿宋_GB2312"/>
                <w:i w:val="0"/>
                <w:iCs w:val="0"/>
                <w:kern w:val="0"/>
                <w:sz w:val="18"/>
                <w:szCs w:val="18"/>
                <w:highlight w:val="none"/>
              </w:rPr>
              <w:t>□要求：拟负责本工程的项目经理持本人身份证件进行陈述与答辩；陈述与答辩时间为</w:t>
            </w:r>
            <w:r>
              <w:rPr>
                <w:rFonts w:hint="eastAsia" w:ascii="仿宋_GB2312" w:hAnsi="仿宋_GB2312" w:eastAsia="仿宋_GB2312" w:cs="仿宋_GB2312"/>
                <w:i w:val="0"/>
                <w:iCs w:val="0"/>
                <w:spacing w:val="-14"/>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分钟</w:t>
            </w:r>
            <w:r>
              <w:rPr>
                <w:rFonts w:hint="eastAsia" w:ascii="仿宋_GB2312" w:hAnsi="仿宋_GB2312" w:eastAsia="仿宋_GB2312" w:cs="仿宋_GB2312"/>
                <w:i w:val="0"/>
                <w:iCs w:val="0"/>
                <w:spacing w:val="-14"/>
                <w:sz w:val="18"/>
                <w:szCs w:val="18"/>
                <w:highlight w:val="none"/>
              </w:rPr>
              <w:t>。</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
                <w:i w:val="0"/>
                <w:iCs w:val="0"/>
                <w:sz w:val="18"/>
                <w:szCs w:val="18"/>
                <w:highlight w:val="none"/>
              </w:rPr>
              <w:t>陈述与答辩的相关安排：</w:t>
            </w:r>
            <w:r>
              <w:rPr>
                <w:rFonts w:hint="eastAsia" w:ascii="仿宋_GB2312" w:hAnsi="仿宋_GB2312" w:eastAsia="仿宋_GB2312" w:cs="仿宋_GB2312"/>
                <w:b/>
                <w:i w:val="0"/>
                <w:iCs w:val="0"/>
                <w:sz w:val="18"/>
                <w:szCs w:val="18"/>
                <w:highlight w:val="none"/>
                <w:u w:val="single"/>
              </w:rPr>
              <w:t>（说明：预计时间、等候地点等）</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10.4</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招标文件的解释权</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构成本招标文件的各个组成文件应互为解释、互为说明，如有不明确或不一致的，工程量以工程量清单为准；构成合同组成内容的，以合同文件约定内容为准。同一文件就同一事项的约定不一致的，以逻辑顺序在后者为准。按本款前述规定仍不能形成结论的，由招标人或其委托的</w:t>
            </w:r>
            <w:r>
              <w:rPr>
                <w:rFonts w:hint="eastAsia" w:ascii="仿宋_GB2312" w:hAnsi="仿宋_GB2312" w:eastAsia="仿宋_GB2312" w:cs="仿宋_GB2312"/>
                <w:i w:val="0"/>
                <w:iCs w:val="0"/>
                <w:sz w:val="18"/>
                <w:szCs w:val="18"/>
                <w:highlight w:val="none"/>
                <w:lang w:eastAsia="zh-CN"/>
              </w:rPr>
              <w:t>招标代理机构</w:t>
            </w:r>
            <w:r>
              <w:rPr>
                <w:rFonts w:hint="eastAsia" w:ascii="仿宋_GB2312" w:hAnsi="仿宋_GB2312" w:eastAsia="仿宋_GB2312" w:cs="仿宋_GB2312"/>
                <w:i w:val="0"/>
                <w:iCs w:val="0"/>
                <w:sz w:val="18"/>
                <w:szCs w:val="18"/>
                <w:highlight w:val="none"/>
              </w:rPr>
              <w:t>负责解释。</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10.5</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投标文件内容不一致的确认</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文件中的内容与投标函及投标函附录不一致的，以投标函及投标函附录为准；投标函与投标函附录不一致的，以投标函为准；小写数字与大写数字不一致的，以大写数字为准；其他内容不一致的，以不利于投标人的解释为准。</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10.6</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中标结果公示</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中标结果将在</w:t>
            </w:r>
            <w:r>
              <w:rPr>
                <w:rFonts w:hint="eastAsia" w:ascii="仿宋_GB2312" w:hAnsi="仿宋_GB2312" w:eastAsia="仿宋_GB2312" w:cs="仿宋_GB2312"/>
                <w:i w:val="0"/>
                <w:iCs w:val="0"/>
                <w:sz w:val="18"/>
                <w:szCs w:val="18"/>
                <w:highlight w:val="none"/>
                <w:u w:val="single"/>
              </w:rPr>
              <w:t xml:space="preserve"> 同中标候选人公示媒介 </w:t>
            </w:r>
            <w:r>
              <w:rPr>
                <w:rFonts w:hint="eastAsia" w:ascii="仿宋_GB2312" w:hAnsi="仿宋_GB2312" w:eastAsia="仿宋_GB2312" w:cs="仿宋_GB2312"/>
                <w:i w:val="0"/>
                <w:iCs w:val="0"/>
                <w:sz w:val="18"/>
                <w:szCs w:val="18"/>
                <w:highlight w:val="none"/>
              </w:rPr>
              <w:t>公示。</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10.7</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电子招标投标意外情况的处理</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10.7.1意外情况</w:t>
            </w:r>
          </w:p>
          <w:p>
            <w:pPr>
              <w:spacing w:line="440" w:lineRule="exact"/>
              <w:ind w:firstLine="360" w:firstLineChars="200"/>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出现下列情形导致电子服务系统或电子交易系统无法正常运行，经第三方机构认定后，各方当事人免责：</w:t>
            </w:r>
          </w:p>
          <w:p>
            <w:pPr>
              <w:spacing w:line="440" w:lineRule="exact"/>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（1）网络、服务器、数据库发生故障造成无法访问或使用的；</w:t>
            </w:r>
          </w:p>
          <w:p>
            <w:pPr>
              <w:spacing w:line="440" w:lineRule="exact"/>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（2）电力系统发生故障导致电子服务系统或电子交易系统无法运行；</w:t>
            </w:r>
          </w:p>
          <w:p>
            <w:pPr>
              <w:spacing w:line="440" w:lineRule="exact"/>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（3）出现网络攻击、病毒入侵以及电子服务系统或电子交易系统安全漏洞导致无法正常提供服务的；</w:t>
            </w:r>
          </w:p>
          <w:p>
            <w:pPr>
              <w:spacing w:line="440" w:lineRule="exact"/>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（4）其他导致系统无法正常运行的情形。</w:t>
            </w:r>
          </w:p>
          <w:p>
            <w:pPr>
              <w:spacing w:line="440" w:lineRule="exact"/>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10.7.2处理流程</w:t>
            </w:r>
          </w:p>
          <w:p>
            <w:pPr>
              <w:spacing w:line="440" w:lineRule="exact"/>
              <w:ind w:firstLine="360" w:firstLineChars="200"/>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出现上述情形，系统建设方应及时组织相关方查明原因，排除故障。若能保证在开标前恢复系统运行的，招投标程序继续进行；若导致开评标程序无法按时开展，但能在原开标时间后2小时内恢复系统运行的，招投标程序继续进行；若导致开评标程序无法按时开展，在原开标时间后2小时内无法恢复系统运行的，按以下程序操作：</w:t>
            </w:r>
          </w:p>
          <w:p>
            <w:pPr>
              <w:spacing w:line="440" w:lineRule="exact"/>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w:t>
            </w:r>
          </w:p>
          <w:p>
            <w:pPr>
              <w:spacing w:line="440" w:lineRule="exact"/>
              <w:jc w:val="lef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（2）项目恢复，导致项目中止的情形消除后，招标人或代理机构应当尽快恢复招投标程序，向投标人发出恢复交易通知；已发出延长中止期限通知的，按通知执行。</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出现意外情况的应报招标监督管理机构。</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10.8</w:t>
            </w: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制作投标文件注意事项</w:t>
            </w:r>
          </w:p>
        </w:tc>
        <w:tc>
          <w:tcPr>
            <w:tcW w:w="6059" w:type="dxa"/>
            <w:tcBorders>
              <w:top w:val="single" w:color="auto" w:sz="4" w:space="0"/>
              <w:left w:val="single" w:color="auto" w:sz="4" w:space="0"/>
              <w:bottom w:val="single" w:color="auto" w:sz="4" w:space="0"/>
              <w:right w:val="single" w:color="auto" w:sz="4" w:space="0"/>
            </w:tcBorders>
            <w:noWrap w:val="0"/>
            <w:vAlign w:val="center"/>
          </w:tcPr>
          <w:p>
            <w:pPr>
              <w:snapToGrid w:val="0"/>
              <w:spacing w:line="440" w:lineRule="exact"/>
              <w:rPr>
                <w:rFonts w:hint="eastAsia" w:ascii="仿宋_GB2312" w:hAnsi="仿宋_GB2312" w:eastAsia="仿宋_GB2312" w:cs="仿宋_GB2312"/>
                <w:bCs/>
                <w:i w:val="0"/>
                <w:iCs w:val="0"/>
                <w:snapToGrid w:val="0"/>
                <w:kern w:val="0"/>
                <w:sz w:val="18"/>
                <w:szCs w:val="18"/>
                <w:highlight w:val="none"/>
              </w:rPr>
            </w:pPr>
            <w:r>
              <w:rPr>
                <w:rFonts w:hint="eastAsia" w:ascii="仿宋_GB2312" w:hAnsi="仿宋_GB2312" w:eastAsia="仿宋_GB2312" w:cs="仿宋_GB2312"/>
                <w:bCs/>
                <w:i w:val="0"/>
                <w:iCs w:val="0"/>
                <w:snapToGrid w:val="0"/>
                <w:kern w:val="0"/>
                <w:sz w:val="18"/>
                <w:szCs w:val="18"/>
                <w:highlight w:val="none"/>
              </w:rPr>
              <w:t>（1）制作投标文件前，必须及时升级电子投标文件制作软件至最新版本。投标人如未及时更新电子投标文件制作软件，产生的一切后果由投标人自行承担。</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snapToGrid w:val="0"/>
                <w:kern w:val="0"/>
                <w:sz w:val="18"/>
                <w:szCs w:val="18"/>
                <w:highlight w:val="none"/>
              </w:rPr>
              <w:t>（2）在使用过程中如有技术问题，请致电</w:t>
            </w:r>
            <w:r>
              <w:rPr>
                <w:rFonts w:hint="eastAsia" w:ascii="仿宋_GB2312" w:hAnsi="仿宋_GB2312" w:eastAsia="仿宋_GB2312" w:cs="仿宋_GB2312"/>
                <w:bCs/>
                <w:i w:val="0"/>
                <w:iCs w:val="0"/>
                <w:snapToGrid w:val="0"/>
                <w:kern w:val="0"/>
                <w:sz w:val="18"/>
                <w:szCs w:val="18"/>
                <w:highlight w:val="none"/>
                <w:u w:val="single"/>
              </w:rPr>
              <w:t xml:space="preserve">电子交易系统服务电话（非项目咨询）：         </w:t>
            </w:r>
            <w:r>
              <w:rPr>
                <w:rFonts w:hint="eastAsia" w:ascii="仿宋_GB2312" w:hAnsi="仿宋_GB2312" w:eastAsia="仿宋_GB2312" w:cs="仿宋_GB2312"/>
                <w:bCs/>
                <w:i w:val="0"/>
                <w:iCs w:val="0"/>
                <w:snapToGrid w:val="0"/>
                <w:kern w:val="0"/>
                <w:sz w:val="18"/>
                <w:szCs w:val="18"/>
                <w:highlight w:val="none"/>
              </w:rPr>
              <w:t>。</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8178"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CellMar>
            <w:top w:w="0" w:type="dxa"/>
            <w:left w:w="108" w:type="dxa"/>
            <w:bottom w:w="0" w:type="dxa"/>
            <w:right w:w="108" w:type="dxa"/>
          </w:tblCellMar>
        </w:tblPrEx>
        <w:tc>
          <w:tcPr>
            <w:tcW w:w="110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8178"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bl>
    <w:p>
      <w:pPr>
        <w:spacing w:line="400" w:lineRule="exact"/>
        <w:rPr>
          <w:i w:val="0"/>
          <w:iCs w:val="0"/>
          <w:highlight w:val="none"/>
        </w:rPr>
      </w:pPr>
    </w:p>
    <w:p>
      <w:pPr>
        <w:pStyle w:val="3"/>
        <w:pageBreakBefore w:val="0"/>
        <w:widowControl w:val="0"/>
        <w:kinsoku/>
        <w:wordWrap/>
        <w:overflowPunct/>
        <w:topLinePunct w:val="0"/>
        <w:autoSpaceDE/>
        <w:autoSpaceDN/>
        <w:bidi w:val="0"/>
        <w:spacing w:before="0" w:after="0"/>
        <w:textAlignment w:val="auto"/>
        <w:rPr>
          <w:i w:val="0"/>
          <w:iCs w:val="0"/>
          <w:highlight w:val="none"/>
        </w:rPr>
      </w:pPr>
      <w:r>
        <w:rPr>
          <w:i w:val="0"/>
          <w:iCs w:val="0"/>
          <w:highlight w:val="none"/>
        </w:rPr>
        <w:br w:type="page"/>
      </w:r>
      <w:bookmarkStart w:id="140" w:name="_Toc247513952"/>
      <w:bookmarkStart w:id="141" w:name="_Toc152042305"/>
      <w:bookmarkStart w:id="142" w:name="_Toc144974497"/>
      <w:bookmarkStart w:id="143" w:name="_Toc30570"/>
      <w:bookmarkStart w:id="144" w:name="_Toc152045529"/>
      <w:bookmarkStart w:id="145" w:name="_Toc247527553"/>
      <w:r>
        <w:rPr>
          <w:rFonts w:hint="eastAsia"/>
          <w:b w:val="0"/>
          <w:bCs w:val="0"/>
          <w:i w:val="0"/>
          <w:iCs w:val="0"/>
          <w:highlight w:val="none"/>
        </w:rPr>
        <w:t>1. 总则</w:t>
      </w:r>
      <w:bookmarkEnd w:id="140"/>
      <w:bookmarkEnd w:id="141"/>
      <w:bookmarkEnd w:id="142"/>
      <w:bookmarkEnd w:id="143"/>
      <w:bookmarkEnd w:id="144"/>
      <w:bookmarkEnd w:id="145"/>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46" w:name="_Toc144974498"/>
      <w:bookmarkStart w:id="147" w:name="_Toc247513953"/>
      <w:bookmarkStart w:id="148" w:name="_Toc152042306"/>
      <w:bookmarkStart w:id="149" w:name="_Toc247527554"/>
      <w:bookmarkStart w:id="150" w:name="_Toc152045530"/>
      <w:r>
        <w:rPr>
          <w:rFonts w:hint="eastAsia" w:ascii="Times New Roman" w:hAnsi="Times New Roman"/>
          <w:i w:val="0"/>
          <w:iCs w:val="0"/>
          <w:highlight w:val="none"/>
        </w:rPr>
        <w:t>1.1</w:t>
      </w:r>
      <w:r>
        <w:rPr>
          <w:rFonts w:hint="eastAsia"/>
          <w:i w:val="0"/>
          <w:iCs w:val="0"/>
          <w:highlight w:val="none"/>
        </w:rPr>
        <w:t xml:space="preserve"> 项目概况</w:t>
      </w:r>
      <w:bookmarkEnd w:id="146"/>
      <w:bookmarkEnd w:id="147"/>
      <w:bookmarkEnd w:id="148"/>
      <w:bookmarkEnd w:id="149"/>
      <w:bookmarkEnd w:id="150"/>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1.1.1根据《中华人民共和国招标投标法》、《中华人民共和国招标投标法实施条例》等有关法律、法规和规章的规定，本招标项目已具备招标条件，现对该项目管理总承包（PMC）进行招标。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1.1.2 招标人：见投标人须知前附表。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1.1.3 招标代理机构：见投标人须知前附表。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1.1.4 招标项目名称：见投标人须知前附表。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1.1.5 项目建设地点：见投标人须知前附表。</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51" w:name="_Toc152042307"/>
      <w:bookmarkStart w:id="152" w:name="_Toc247513954"/>
      <w:bookmarkStart w:id="153" w:name="_Toc152045531"/>
      <w:bookmarkStart w:id="154" w:name="_Toc247527555"/>
      <w:bookmarkStart w:id="155" w:name="_Toc144974499"/>
      <w:r>
        <w:rPr>
          <w:rFonts w:hint="eastAsia" w:ascii="Times New Roman" w:hAnsi="Times New Roman"/>
          <w:i w:val="0"/>
          <w:iCs w:val="0"/>
          <w:highlight w:val="none"/>
        </w:rPr>
        <w:t xml:space="preserve">1.2 </w:t>
      </w:r>
      <w:r>
        <w:rPr>
          <w:rFonts w:hint="eastAsia"/>
          <w:i w:val="0"/>
          <w:iCs w:val="0"/>
          <w:highlight w:val="none"/>
        </w:rPr>
        <w:t>项目的资金来源和落实情况</w:t>
      </w:r>
      <w:bookmarkEnd w:id="151"/>
      <w:bookmarkEnd w:id="152"/>
      <w:bookmarkEnd w:id="153"/>
      <w:bookmarkEnd w:id="154"/>
      <w:bookmarkEnd w:id="155"/>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1.2.1 资金来源及比例：见投标人须知前附表。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1.2.2 资金落实情况：见投标人须知前附表。</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56" w:name="_Toc152045532"/>
      <w:bookmarkStart w:id="157" w:name="_Toc247513955"/>
      <w:bookmarkStart w:id="158" w:name="_Toc144974500"/>
      <w:bookmarkStart w:id="159" w:name="_Toc152042308"/>
      <w:bookmarkStart w:id="160" w:name="_Toc247527556"/>
      <w:r>
        <w:rPr>
          <w:rFonts w:hint="eastAsia" w:ascii="Times New Roman" w:hAnsi="Times New Roman"/>
          <w:i w:val="0"/>
          <w:iCs w:val="0"/>
          <w:highlight w:val="none"/>
        </w:rPr>
        <w:t>1.3</w:t>
      </w:r>
      <w:r>
        <w:rPr>
          <w:rFonts w:hint="eastAsia"/>
          <w:i w:val="0"/>
          <w:iCs w:val="0"/>
          <w:highlight w:val="none"/>
        </w:rPr>
        <w:t xml:space="preserve"> 招标范围、计划工期和</w:t>
      </w:r>
      <w:bookmarkEnd w:id="156"/>
      <w:bookmarkEnd w:id="157"/>
      <w:bookmarkEnd w:id="158"/>
      <w:bookmarkEnd w:id="159"/>
      <w:bookmarkEnd w:id="160"/>
      <w:r>
        <w:rPr>
          <w:rFonts w:hint="eastAsia"/>
          <w:i w:val="0"/>
          <w:iCs w:val="0"/>
          <w:highlight w:val="none"/>
        </w:rPr>
        <w:t>质量标准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1.3.1 招标范围：见投标人须知前附表。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1.3.2 计划工期：见投标人须知前附表。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1.3.3 质量标准：见投标人须知前附表。</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61" w:name="_Toc247527557"/>
      <w:bookmarkStart w:id="162" w:name="_Toc152042309"/>
      <w:bookmarkStart w:id="163" w:name="_Toc152045533"/>
      <w:bookmarkStart w:id="164" w:name="_Toc247513956"/>
      <w:bookmarkStart w:id="165" w:name="_Toc144974501"/>
      <w:r>
        <w:rPr>
          <w:rFonts w:hint="eastAsia" w:ascii="Times New Roman" w:hAnsi="Times New Roman"/>
          <w:i w:val="0"/>
          <w:iCs w:val="0"/>
          <w:highlight w:val="none"/>
        </w:rPr>
        <w:t>1.4</w:t>
      </w:r>
      <w:r>
        <w:rPr>
          <w:rFonts w:hint="eastAsia"/>
          <w:i w:val="0"/>
          <w:iCs w:val="0"/>
          <w:highlight w:val="none"/>
        </w:rPr>
        <w:t xml:space="preserve"> 投标人资格要求（适用于已进行资格预审的）</w:t>
      </w:r>
      <w:bookmarkEnd w:id="161"/>
      <w:bookmarkEnd w:id="162"/>
      <w:bookmarkEnd w:id="163"/>
      <w:bookmarkEnd w:id="164"/>
      <w:bookmarkEnd w:id="165"/>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投标人应是收到招标人发出投标邀请书的单位。</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66" w:name="_Toc152045534"/>
      <w:bookmarkStart w:id="167" w:name="_Toc247527558"/>
      <w:bookmarkStart w:id="168" w:name="_Toc247513957"/>
      <w:bookmarkStart w:id="169" w:name="_Toc144974502"/>
      <w:bookmarkStart w:id="170" w:name="_Toc152042310"/>
      <w:r>
        <w:rPr>
          <w:rFonts w:hint="eastAsia" w:ascii="Times New Roman" w:hAnsi="Times New Roman"/>
          <w:i w:val="0"/>
          <w:iCs w:val="0"/>
          <w:highlight w:val="none"/>
        </w:rPr>
        <w:t>1.4</w:t>
      </w:r>
      <w:r>
        <w:rPr>
          <w:rFonts w:hint="eastAsia"/>
          <w:i w:val="0"/>
          <w:iCs w:val="0"/>
          <w:highlight w:val="none"/>
        </w:rPr>
        <w:t xml:space="preserve"> 投标人资格要求（适用于未进行资格预审的）</w:t>
      </w:r>
      <w:bookmarkEnd w:id="166"/>
      <w:bookmarkEnd w:id="167"/>
      <w:bookmarkEnd w:id="168"/>
      <w:bookmarkEnd w:id="169"/>
      <w:bookmarkEnd w:id="170"/>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1.4.1 投标人应具备承担本招标项目资质条件、能力和信誉。</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（1）资质要求：见投标人须知前附表；</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（2）财务要求：见投标人须知前附表；</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（3）业绩要求：见投标人须知前附表；</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（4）信誉要求：见投标人须知前附表；</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（5）项目经理的资格要求：见投标人须知前附表；</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（6）技术负责人的资格要求：见投标人须知前附表；</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（7）项目管理机构及人员：见投标人须知前附表；</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（8）其他要求：见投标人须知前附表。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1.4.2 投标人须知前附表规定接受联合体投标的，除应符合本章第1.4.1项和投标人须知前附表的要求外，还应遵守以下规定： </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（1）联合体各方应按招标文件提供的格式签订联合体协议书，明确联合体牵头人和各方权利义务；</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（2）由同一专业的单位组成的联合体，按照资质等级较低的单位确定资质等级；</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（3）联合体各方不得再以自己名义单独或参加其他联合体在同一标段中投标，否则各相关投标均无效。</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1.4.3 投标人不得存在下列情形之一：（已投标的其投标文件将被否决，并上报行业主管部门，按相关规定处理）。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为招标人不具有独立法人资格的附属机构（单位）；</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与招标人存在利害关系且可能影响招标公正性；</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与本标段的其他投标人为同一个单位负责人；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与本标段的其他投标人存在控股、管理关系；</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为本标段监理人；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为本标段代建人；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（7）</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为本标段提供招标代理服务的；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（8）</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与本标段的监理人或代建人或招标代理机构同为一个法定代表人的；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（9）</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与本标段的监理人或代建人或招标代理机构相互控股或参股的；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（10）</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与本标段的监理人或代建人或招标代理机构相互任职或工作的；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被依法暂停或者取消投标资格（以相关行业主管部门的行政处理决定为准）；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（12）</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被责令停业，暂扣或者吊销执照，或吊销资质证书；</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（13）</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进入清算程序，或被宣告破产，或其他丧失履约能力的情形；</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（14）</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在近三年内有骗取中标或严重违约或重大工程质量问题（以相关行业主管部门的行政处罚决定或司法机关出具的有关法律文书为准）；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（15）</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在国家企业信用信息公示系统（http://www.gsxt.gov.cn/）中被列入严重违法失信企业名单；</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（16）</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在“信用中国”网站（http://www.creditchina.gov.cn/）中被列入失信被执行人名单；</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（17）</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在“信用中国”网站（http://www.creditchina.gov.cn/）中被列入重大税收违法案件当事人名单；</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（18）</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 xml:space="preserve">被人力资源社会保障行政部门列入拖欠农民工工资“黑名单”； </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（19）</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在近三年内投标人或其法定代表人、拟任项目负责人有行贿犯罪行为的；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（20）</w:t>
      </w:r>
      <w:r>
        <w:rPr>
          <w:rFonts w:hint="eastAsia" w:ascii="仿宋_GB2312" w:hAnsi="仿宋_GB2312" w:eastAsia="仿宋_GB2312" w:cs="仿宋_GB2312"/>
          <w:i w:val="0"/>
          <w:iCs w:val="0"/>
          <w:highlight w:val="none"/>
        </w:rPr>
        <w:tab/>
      </w:r>
      <w:r>
        <w:rPr>
          <w:rFonts w:hint="eastAsia" w:ascii="仿宋_GB2312" w:hAnsi="仿宋_GB2312" w:eastAsia="仿宋_GB2312" w:cs="仿宋_GB2312"/>
          <w:i w:val="0"/>
          <w:iCs w:val="0"/>
          <w:highlight w:val="none"/>
        </w:rPr>
        <w:t>法律法规或投标人须知前附表规定的其他情形。</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71" w:name="_Toc247513958"/>
      <w:bookmarkStart w:id="172" w:name="_Toc144974503"/>
      <w:bookmarkStart w:id="173" w:name="_Toc152045535"/>
      <w:bookmarkStart w:id="174" w:name="_Toc152042311"/>
      <w:bookmarkStart w:id="175" w:name="_Toc247527559"/>
      <w:r>
        <w:rPr>
          <w:rFonts w:hint="eastAsia" w:ascii="Times New Roman" w:hAnsi="Times New Roman"/>
          <w:i w:val="0"/>
          <w:iCs w:val="0"/>
          <w:highlight w:val="none"/>
        </w:rPr>
        <w:t>1.5</w:t>
      </w:r>
      <w:r>
        <w:rPr>
          <w:rFonts w:hint="eastAsia"/>
          <w:i w:val="0"/>
          <w:iCs w:val="0"/>
          <w:highlight w:val="none"/>
        </w:rPr>
        <w:t xml:space="preserve"> 费用承担</w:t>
      </w:r>
      <w:bookmarkEnd w:id="171"/>
      <w:bookmarkEnd w:id="172"/>
      <w:bookmarkEnd w:id="173"/>
      <w:bookmarkEnd w:id="174"/>
      <w:bookmarkEnd w:id="175"/>
      <w:r>
        <w:rPr>
          <w:rFonts w:hint="eastAsia"/>
          <w:i w:val="0"/>
          <w:iCs w:val="0"/>
          <w:highlight w:val="none"/>
        </w:rPr>
        <w:t>和设计成果补偿</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1.5.1 投标人准备和参加投标活动发生的费用自理。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1.5.2 招标人对符合招标文件规定的未中标人的设计成果进行补偿的，按投标人须知前附表规定给予补偿，并有权免费使用未中标人设计成果。</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76" w:name="_Toc247513959"/>
      <w:bookmarkStart w:id="177" w:name="_Toc152045536"/>
      <w:bookmarkStart w:id="178" w:name="_Toc247527560"/>
      <w:bookmarkStart w:id="179" w:name="_Toc144974504"/>
      <w:bookmarkStart w:id="180" w:name="_Toc152042312"/>
      <w:r>
        <w:rPr>
          <w:rFonts w:hint="eastAsia" w:ascii="Times New Roman" w:hAnsi="Times New Roman"/>
          <w:i w:val="0"/>
          <w:iCs w:val="0"/>
          <w:highlight w:val="none"/>
        </w:rPr>
        <w:t xml:space="preserve">1.6 </w:t>
      </w:r>
      <w:r>
        <w:rPr>
          <w:rFonts w:hint="eastAsia"/>
          <w:i w:val="0"/>
          <w:iCs w:val="0"/>
          <w:highlight w:val="none"/>
        </w:rPr>
        <w:t>保密</w:t>
      </w:r>
      <w:bookmarkEnd w:id="176"/>
      <w:bookmarkEnd w:id="177"/>
      <w:bookmarkEnd w:id="178"/>
      <w:bookmarkEnd w:id="179"/>
      <w:bookmarkEnd w:id="180"/>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参与招标投标活动的各方应对招标文件和投标文件中的商业和技术等秘密保密，否则应承担相应的法律责任。 </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81" w:name="_Toc144974505"/>
      <w:bookmarkStart w:id="182" w:name="_Toc152045537"/>
      <w:bookmarkStart w:id="183" w:name="_Toc247513960"/>
      <w:bookmarkStart w:id="184" w:name="_Toc152042313"/>
      <w:bookmarkStart w:id="185" w:name="_Toc247527561"/>
      <w:r>
        <w:rPr>
          <w:rFonts w:hint="eastAsia" w:ascii="Times New Roman" w:hAnsi="Times New Roman"/>
          <w:i w:val="0"/>
          <w:iCs w:val="0"/>
          <w:highlight w:val="none"/>
        </w:rPr>
        <w:t>1.7</w:t>
      </w:r>
      <w:r>
        <w:rPr>
          <w:rFonts w:hint="eastAsia"/>
          <w:i w:val="0"/>
          <w:iCs w:val="0"/>
          <w:highlight w:val="none"/>
        </w:rPr>
        <w:t xml:space="preserve"> 语言</w:t>
      </w:r>
      <w:bookmarkEnd w:id="181"/>
      <w:r>
        <w:rPr>
          <w:rFonts w:hint="eastAsia"/>
          <w:i w:val="0"/>
          <w:iCs w:val="0"/>
          <w:highlight w:val="none"/>
        </w:rPr>
        <w:t>文字</w:t>
      </w:r>
      <w:bookmarkEnd w:id="182"/>
      <w:bookmarkEnd w:id="183"/>
      <w:bookmarkEnd w:id="184"/>
      <w:bookmarkEnd w:id="185"/>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招标投标文件使用的语言文字为中文。专用术语使用外文的，应附有中文注释。</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86" w:name="_Toc247527562"/>
      <w:bookmarkStart w:id="187" w:name="_Toc152042314"/>
      <w:bookmarkStart w:id="188" w:name="_Toc247513961"/>
      <w:bookmarkStart w:id="189" w:name="_Toc152045538"/>
      <w:bookmarkStart w:id="190" w:name="_Toc144974506"/>
      <w:r>
        <w:rPr>
          <w:rFonts w:hint="eastAsia" w:ascii="Times New Roman" w:hAnsi="Times New Roman"/>
          <w:i w:val="0"/>
          <w:iCs w:val="0"/>
          <w:highlight w:val="none"/>
        </w:rPr>
        <w:t xml:space="preserve">1.8 </w:t>
      </w:r>
      <w:r>
        <w:rPr>
          <w:rFonts w:hint="eastAsia"/>
          <w:i w:val="0"/>
          <w:iCs w:val="0"/>
          <w:highlight w:val="none"/>
        </w:rPr>
        <w:t>计量单位</w:t>
      </w:r>
      <w:bookmarkEnd w:id="186"/>
      <w:bookmarkEnd w:id="187"/>
      <w:bookmarkEnd w:id="188"/>
      <w:bookmarkEnd w:id="189"/>
      <w:bookmarkEnd w:id="190"/>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所有计量均采用中华人民共和国法定计量单位。</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91" w:name="_Toc247513962"/>
      <w:bookmarkStart w:id="192" w:name="_Toc144974507"/>
      <w:bookmarkStart w:id="193" w:name="_Toc247527563"/>
      <w:bookmarkStart w:id="194" w:name="_Toc152045539"/>
      <w:bookmarkStart w:id="195" w:name="_Toc152042315"/>
      <w:r>
        <w:rPr>
          <w:rFonts w:hint="eastAsia" w:ascii="Times New Roman" w:hAnsi="Times New Roman"/>
          <w:i w:val="0"/>
          <w:iCs w:val="0"/>
          <w:highlight w:val="none"/>
        </w:rPr>
        <w:t>1.9</w:t>
      </w:r>
      <w:r>
        <w:rPr>
          <w:rFonts w:hint="eastAsia"/>
          <w:i w:val="0"/>
          <w:iCs w:val="0"/>
          <w:highlight w:val="none"/>
        </w:rPr>
        <w:t xml:space="preserve"> 踏勘现场</w:t>
      </w:r>
      <w:bookmarkEnd w:id="191"/>
      <w:bookmarkEnd w:id="192"/>
      <w:bookmarkEnd w:id="193"/>
      <w:bookmarkEnd w:id="194"/>
      <w:bookmarkEnd w:id="195"/>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1.9.1 投标人须知前附表规定组织踏勘现场的，招标人按招标公告（或投标邀请书）规定的时间、地点组织投标人踏勘项目现场。部分投标人未按时参加踏勘现场的，不影响踏勘现场的正常进行。 </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1.9.2 投标人踏勘现场发生的费用自理。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1.9.3 除招标人的原因外，投标人自行负责在踏勘现场中所发生的人员伤亡和财产损失。</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1.9.4 招标人在踏勘现场中介绍的工程场地和相关的周边环境情况，供投标人在编制投标文件时参考，招标人不对投标人据此作出的判断和决策负责。</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196" w:name="_Toc152042316"/>
      <w:bookmarkStart w:id="197" w:name="_Toc152045540"/>
      <w:bookmarkStart w:id="198" w:name="_Toc247513963"/>
      <w:bookmarkStart w:id="199" w:name="_Toc247527564"/>
      <w:bookmarkStart w:id="200" w:name="_Toc144974508"/>
      <w:r>
        <w:rPr>
          <w:rFonts w:hint="eastAsia" w:ascii="Times New Roman" w:hAnsi="Times New Roman"/>
          <w:i w:val="0"/>
          <w:iCs w:val="0"/>
          <w:highlight w:val="none"/>
        </w:rPr>
        <w:t>1.10</w:t>
      </w:r>
      <w:r>
        <w:rPr>
          <w:rFonts w:hint="eastAsia"/>
          <w:i w:val="0"/>
          <w:iCs w:val="0"/>
          <w:highlight w:val="none"/>
        </w:rPr>
        <w:t xml:space="preserve"> 投标预备会</w:t>
      </w:r>
      <w:bookmarkEnd w:id="196"/>
      <w:bookmarkEnd w:id="197"/>
      <w:bookmarkEnd w:id="198"/>
      <w:bookmarkEnd w:id="199"/>
      <w:bookmarkEnd w:id="200"/>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1.10.1 投标人须知前附表规定召开投标预备会的，招标人按投标人须知前附表规定的时间和地点召开投标预备会，澄清投标人提出的问题。</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1.10.2投标人应按投标人须知前附表规定的时间和形式将提出的问题送达招标人，以便招标人在会议期间澄清。</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1.10.3 投标预备会后，招标人在投标人须知前附表规定的时间内，将对投标人所提问题的澄清，以书面形式通知所有</w:t>
      </w:r>
      <w:r>
        <w:rPr>
          <w:rFonts w:hint="eastAsia" w:ascii="仿宋_GB2312" w:hAnsi="仿宋_GB2312" w:eastAsia="仿宋_GB2312" w:cs="仿宋_GB2312"/>
          <w:i w:val="0"/>
          <w:iCs w:val="0"/>
          <w:highlight w:val="none"/>
          <w:lang w:eastAsia="zh-CN"/>
        </w:rPr>
        <w:t>获取招标文件</w:t>
      </w:r>
      <w:r>
        <w:rPr>
          <w:rFonts w:hint="eastAsia" w:ascii="仿宋_GB2312" w:hAnsi="仿宋_GB2312" w:eastAsia="仿宋_GB2312" w:cs="仿宋_GB2312"/>
          <w:i w:val="0"/>
          <w:iCs w:val="0"/>
          <w:highlight w:val="none"/>
        </w:rPr>
        <w:t>的投标人。该澄清内容为招标文件的组成部分。</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01" w:name="_Toc247513964"/>
      <w:bookmarkStart w:id="202" w:name="_Toc152045541"/>
      <w:bookmarkStart w:id="203" w:name="_Toc152042317"/>
      <w:bookmarkStart w:id="204" w:name="_Toc247527565"/>
      <w:bookmarkStart w:id="205" w:name="_Toc144974509"/>
      <w:r>
        <w:rPr>
          <w:rFonts w:hint="eastAsia" w:ascii="Times New Roman" w:hAnsi="Times New Roman"/>
          <w:i w:val="0"/>
          <w:iCs w:val="0"/>
          <w:highlight w:val="none"/>
        </w:rPr>
        <w:t xml:space="preserve">1.11 </w:t>
      </w:r>
      <w:r>
        <w:rPr>
          <w:rFonts w:hint="eastAsia"/>
          <w:i w:val="0"/>
          <w:iCs w:val="0"/>
          <w:highlight w:val="none"/>
        </w:rPr>
        <w:t>分包</w:t>
      </w:r>
      <w:bookmarkEnd w:id="201"/>
      <w:bookmarkEnd w:id="202"/>
      <w:bookmarkEnd w:id="203"/>
      <w:bookmarkEnd w:id="204"/>
      <w:bookmarkEnd w:id="205"/>
    </w:p>
    <w:p>
      <w:pPr>
        <w:pageBreakBefore w:val="0"/>
        <w:widowControl w:val="0"/>
        <w:kinsoku/>
        <w:wordWrap/>
        <w:overflowPunct/>
        <w:topLinePunct w:val="0"/>
        <w:autoSpaceDE/>
        <w:autoSpaceDN/>
        <w:bidi w:val="0"/>
        <w:spacing w:line="400" w:lineRule="exact"/>
        <w:ind w:firstLine="567" w:firstLineChars="27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1.11.1 投标人须知前附表规定应当由分包人实施的非主体、非关键性工作，投标人应当按照第五章“发包人要求”的规定提供分包人侯选名单及其相应资料。</w:t>
      </w:r>
    </w:p>
    <w:p>
      <w:pPr>
        <w:pageBreakBefore w:val="0"/>
        <w:widowControl w:val="0"/>
        <w:kinsoku/>
        <w:wordWrap/>
        <w:overflowPunct/>
        <w:topLinePunct w:val="0"/>
        <w:autoSpaceDE/>
        <w:autoSpaceDN/>
        <w:bidi w:val="0"/>
        <w:spacing w:line="400" w:lineRule="exact"/>
        <w:ind w:firstLine="567" w:firstLineChars="27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1.11.2 投标人拟在中标后将中标项目的部分非主体、非关键性工作进行分包的，应符合投标人须知前附表规定的分包内容、分包金额和资质要求等限制性条件。</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06" w:name="_Toc247513965"/>
      <w:bookmarkStart w:id="207" w:name="_Toc247527566"/>
      <w:r>
        <w:rPr>
          <w:rFonts w:hint="eastAsia" w:ascii="Times New Roman" w:hAnsi="Times New Roman"/>
          <w:i w:val="0"/>
          <w:iCs w:val="0"/>
          <w:highlight w:val="none"/>
        </w:rPr>
        <w:t>1.12</w:t>
      </w:r>
      <w:r>
        <w:rPr>
          <w:rFonts w:hint="eastAsia"/>
          <w:i w:val="0"/>
          <w:iCs w:val="0"/>
          <w:highlight w:val="none"/>
        </w:rPr>
        <w:t xml:space="preserve"> 偏离</w:t>
      </w:r>
      <w:bookmarkEnd w:id="206"/>
      <w:bookmarkEnd w:id="207"/>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投标人须知前附表允许投标文件偏离招标文件某些要求的，偏离应当符合招标文件规定的偏离范围和幅度。</w:t>
      </w:r>
    </w:p>
    <w:p>
      <w:pPr>
        <w:pStyle w:val="3"/>
        <w:pageBreakBefore w:val="0"/>
        <w:widowControl w:val="0"/>
        <w:kinsoku/>
        <w:wordWrap/>
        <w:overflowPunct/>
        <w:topLinePunct w:val="0"/>
        <w:autoSpaceDE/>
        <w:autoSpaceDN/>
        <w:bidi w:val="0"/>
        <w:spacing w:before="0" w:after="0"/>
        <w:textAlignment w:val="auto"/>
        <w:rPr>
          <w:b w:val="0"/>
          <w:bCs w:val="0"/>
          <w:i w:val="0"/>
          <w:iCs w:val="0"/>
          <w:highlight w:val="none"/>
        </w:rPr>
      </w:pPr>
      <w:bookmarkStart w:id="208" w:name="_Toc144974510"/>
      <w:bookmarkStart w:id="209" w:name="_Toc152045542"/>
      <w:bookmarkStart w:id="210" w:name="_Toc23358"/>
      <w:bookmarkStart w:id="211" w:name="_Toc247513966"/>
      <w:bookmarkStart w:id="212" w:name="_Toc247527567"/>
      <w:bookmarkStart w:id="213" w:name="_Toc152042318"/>
      <w:r>
        <w:rPr>
          <w:rFonts w:hint="eastAsia"/>
          <w:b w:val="0"/>
          <w:bCs w:val="0"/>
          <w:i w:val="0"/>
          <w:iCs w:val="0"/>
          <w:highlight w:val="none"/>
        </w:rPr>
        <w:t>2. 招标文件</w:t>
      </w:r>
      <w:bookmarkEnd w:id="208"/>
      <w:bookmarkEnd w:id="209"/>
      <w:bookmarkEnd w:id="210"/>
      <w:bookmarkEnd w:id="211"/>
      <w:bookmarkEnd w:id="212"/>
      <w:bookmarkEnd w:id="213"/>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14" w:name="_Toc152042319"/>
      <w:bookmarkStart w:id="215" w:name="_Toc247513967"/>
      <w:bookmarkStart w:id="216" w:name="_Toc152045543"/>
      <w:bookmarkStart w:id="217" w:name="_Toc144974511"/>
      <w:bookmarkStart w:id="218" w:name="_Toc247527568"/>
      <w:r>
        <w:rPr>
          <w:rFonts w:hint="eastAsia" w:ascii="Times New Roman" w:hAnsi="Times New Roman"/>
          <w:i w:val="0"/>
          <w:iCs w:val="0"/>
          <w:highlight w:val="none"/>
        </w:rPr>
        <w:t>2.1</w:t>
      </w:r>
      <w:r>
        <w:rPr>
          <w:rFonts w:hint="eastAsia"/>
          <w:i w:val="0"/>
          <w:iCs w:val="0"/>
          <w:highlight w:val="none"/>
        </w:rPr>
        <w:t xml:space="preserve"> 招标文件的组成</w:t>
      </w:r>
      <w:bookmarkEnd w:id="214"/>
      <w:bookmarkEnd w:id="215"/>
      <w:bookmarkEnd w:id="216"/>
      <w:bookmarkEnd w:id="217"/>
      <w:bookmarkEnd w:id="218"/>
    </w:p>
    <w:p>
      <w:pPr>
        <w:pageBreakBefore w:val="0"/>
        <w:widowControl w:val="0"/>
        <w:kinsoku/>
        <w:wordWrap/>
        <w:overflowPunct/>
        <w:topLinePunct w:val="0"/>
        <w:autoSpaceDE/>
        <w:autoSpaceDN/>
        <w:bidi w:val="0"/>
        <w:spacing w:line="400" w:lineRule="exact"/>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本招标文件包括：</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（1）招标公告（或投标邀请书）；</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（2）投标人须知；</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（3）评标办法；</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（4）合同条款及格式；</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（5）发包人要求；</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（6）发包人提供的资料和条件；</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（7）投标文件格式；</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（8）投标人须知前附表规定的其他资料。</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根据本章第1.10款、第2.2款和第2.3款对招标文件所作的澄清、修改，构成招标文件的组成部分。</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19" w:name="_Toc152045544"/>
      <w:bookmarkStart w:id="220" w:name="_Toc144974512"/>
      <w:bookmarkStart w:id="221" w:name="_Toc247527569"/>
      <w:bookmarkStart w:id="222" w:name="_Toc247513968"/>
      <w:bookmarkStart w:id="223" w:name="_Toc152042320"/>
      <w:r>
        <w:rPr>
          <w:rFonts w:hint="eastAsia" w:ascii="Times New Roman" w:hAnsi="Times New Roman"/>
          <w:i w:val="0"/>
          <w:iCs w:val="0"/>
          <w:highlight w:val="none"/>
        </w:rPr>
        <w:t>2.2</w:t>
      </w:r>
      <w:r>
        <w:rPr>
          <w:rFonts w:hint="eastAsia"/>
          <w:i w:val="0"/>
          <w:iCs w:val="0"/>
          <w:highlight w:val="none"/>
        </w:rPr>
        <w:t xml:space="preserve"> 招标文件的澄清</w:t>
      </w:r>
      <w:bookmarkEnd w:id="219"/>
      <w:bookmarkEnd w:id="220"/>
      <w:bookmarkEnd w:id="221"/>
      <w:bookmarkEnd w:id="222"/>
      <w:bookmarkEnd w:id="223"/>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2.2.1 投标人应仔细阅读和检查招标文件的全部内容。如发现缺页或附件不全，应及时向招标人提出，以便补齐。如有疑问，应按投标人须知前附表规定的时间和形式提出澄清申请，要求招标人对招标文件予以澄清。</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2.2.2招标文件的澄清通过电子交易系统发布，但不指明澄清问题的来源。如果澄清通知发出的时间距本章第4.2.1项规定的投标截止时间不足15日的，并且澄清内容可能影响投标文件编制的，将相应延长投标截止时间。</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2.2.3所有潜在投标人在投标截止时间前有义务在电子交易系统自行查询澄清通知，无需回复确认。</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2.2.4除非招标人认为确有必要答复，否则，招标人有权拒绝回复投标人在本章第2.2.1项规定的时间后提出的任何澄清要求。</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24" w:name="_Toc152045545"/>
      <w:bookmarkStart w:id="225" w:name="_Toc247513969"/>
      <w:bookmarkStart w:id="226" w:name="_Toc247527570"/>
      <w:bookmarkStart w:id="227" w:name="_Toc144974513"/>
      <w:bookmarkStart w:id="228" w:name="_Toc152042321"/>
      <w:r>
        <w:rPr>
          <w:rFonts w:hint="eastAsia" w:ascii="Times New Roman" w:hAnsi="Times New Roman"/>
          <w:i w:val="0"/>
          <w:iCs w:val="0"/>
          <w:highlight w:val="none"/>
        </w:rPr>
        <w:t>2.3</w:t>
      </w:r>
      <w:r>
        <w:rPr>
          <w:rFonts w:hint="eastAsia"/>
          <w:i w:val="0"/>
          <w:iCs w:val="0"/>
          <w:highlight w:val="none"/>
        </w:rPr>
        <w:t xml:space="preserve"> 招标文件的修改</w:t>
      </w:r>
      <w:bookmarkEnd w:id="224"/>
      <w:bookmarkEnd w:id="225"/>
      <w:bookmarkEnd w:id="226"/>
      <w:bookmarkEnd w:id="227"/>
      <w:bookmarkEnd w:id="228"/>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2.3.1招标人通过电子交易系统发布招标文件的修改通知。如果修改招标文件的时间距本章第4.2.1项规定的投标截止时间不足15日的，并且修改内容可能影响投标文件编制的，将相应延长投标截止时间。 </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2.3.2所有潜在投标人在投标截止时间前有义务在电子交易系统自行查询修改通知，无需回复确认。</w:t>
      </w:r>
    </w:p>
    <w:p>
      <w:pPr>
        <w:pStyle w:val="4"/>
        <w:pageBreakBefore w:val="0"/>
        <w:widowControl w:val="0"/>
        <w:kinsoku/>
        <w:wordWrap/>
        <w:overflowPunct/>
        <w:topLinePunct w:val="0"/>
        <w:autoSpaceDE/>
        <w:autoSpaceDN/>
        <w:bidi w:val="0"/>
        <w:spacing w:before="0" w:after="0"/>
        <w:ind w:firstLine="137"/>
        <w:textAlignment w:val="auto"/>
        <w:rPr>
          <w:rFonts w:ascii="Times New Roman" w:hAnsi="Times New Roman"/>
          <w:i w:val="0"/>
          <w:iCs w:val="0"/>
          <w:highlight w:val="none"/>
        </w:rPr>
      </w:pPr>
      <w:r>
        <w:rPr>
          <w:rFonts w:hint="eastAsia" w:ascii="Times New Roman" w:hAnsi="Times New Roman"/>
          <w:i w:val="0"/>
          <w:iCs w:val="0"/>
          <w:highlight w:val="none"/>
        </w:rPr>
        <w:t>2.4招标文件的异议</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投标人或者其他利害关系人对招标文件有异议的，应当在投标截止时间10日前以书面形式提出。招标人将在收到异议之日起3日内作出答复；作出答复前，将暂停招标投标活动。</w:t>
      </w:r>
    </w:p>
    <w:p>
      <w:pPr>
        <w:pStyle w:val="3"/>
        <w:pageBreakBefore w:val="0"/>
        <w:widowControl w:val="0"/>
        <w:kinsoku/>
        <w:wordWrap/>
        <w:overflowPunct/>
        <w:topLinePunct w:val="0"/>
        <w:autoSpaceDE/>
        <w:autoSpaceDN/>
        <w:bidi w:val="0"/>
        <w:spacing w:before="0" w:after="0"/>
        <w:textAlignment w:val="auto"/>
        <w:rPr>
          <w:b w:val="0"/>
          <w:bCs w:val="0"/>
          <w:i w:val="0"/>
          <w:iCs w:val="0"/>
          <w:highlight w:val="none"/>
        </w:rPr>
      </w:pPr>
      <w:bookmarkStart w:id="229" w:name="_Toc6400"/>
      <w:bookmarkStart w:id="230" w:name="_Toc144974514"/>
      <w:bookmarkStart w:id="231" w:name="_Toc247513970"/>
      <w:bookmarkStart w:id="232" w:name="_Toc152045546"/>
      <w:bookmarkStart w:id="233" w:name="_Toc152042322"/>
      <w:bookmarkStart w:id="234" w:name="_Toc247527571"/>
      <w:r>
        <w:rPr>
          <w:rFonts w:hint="eastAsia"/>
          <w:b w:val="0"/>
          <w:bCs w:val="0"/>
          <w:i w:val="0"/>
          <w:iCs w:val="0"/>
          <w:highlight w:val="none"/>
        </w:rPr>
        <w:t>3. 投标文件</w:t>
      </w:r>
      <w:bookmarkEnd w:id="229"/>
      <w:bookmarkEnd w:id="230"/>
      <w:bookmarkEnd w:id="231"/>
      <w:bookmarkEnd w:id="232"/>
      <w:bookmarkEnd w:id="233"/>
      <w:bookmarkEnd w:id="234"/>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35" w:name="_Toc152045547"/>
      <w:bookmarkStart w:id="236" w:name="_Toc247527572"/>
      <w:bookmarkStart w:id="237" w:name="_Toc144974515"/>
      <w:bookmarkStart w:id="238" w:name="_Toc152042323"/>
      <w:bookmarkStart w:id="239" w:name="_Toc247513971"/>
      <w:r>
        <w:rPr>
          <w:rFonts w:hint="eastAsia" w:ascii="Times New Roman" w:hAnsi="Times New Roman"/>
          <w:i w:val="0"/>
          <w:iCs w:val="0"/>
          <w:highlight w:val="none"/>
        </w:rPr>
        <w:t>3.1</w:t>
      </w:r>
      <w:r>
        <w:rPr>
          <w:rFonts w:hint="eastAsia"/>
          <w:i w:val="0"/>
          <w:iCs w:val="0"/>
          <w:highlight w:val="none"/>
        </w:rPr>
        <w:t xml:space="preserve"> 投标文件的组成</w:t>
      </w:r>
      <w:bookmarkEnd w:id="235"/>
      <w:bookmarkEnd w:id="236"/>
      <w:bookmarkEnd w:id="237"/>
      <w:bookmarkEnd w:id="238"/>
      <w:bookmarkEnd w:id="239"/>
    </w:p>
    <w:p>
      <w:pPr>
        <w:pageBreakBefore w:val="0"/>
        <w:widowControl w:val="0"/>
        <w:kinsoku/>
        <w:wordWrap/>
        <w:overflowPunct/>
        <w:topLinePunct w:val="0"/>
        <w:autoSpaceDE/>
        <w:autoSpaceDN/>
        <w:bidi w:val="0"/>
        <w:spacing w:line="400" w:lineRule="exact"/>
        <w:textAlignment w:val="auto"/>
        <w:rPr>
          <w:rFonts w:hint="eastAsia" w:ascii="仿宋_GB2312" w:hAnsi="仿宋_GB2312" w:eastAsia="仿宋_GB2312" w:cs="仿宋_GB2312"/>
          <w:b w:val="0"/>
          <w:bCs w:val="0"/>
          <w:i w:val="0"/>
          <w:iCs w:val="0"/>
          <w:highlight w:val="none"/>
        </w:rPr>
      </w:pPr>
      <w:r>
        <w:rPr>
          <w:rFonts w:hint="eastAsia" w:ascii="仿宋_GB2312" w:hAnsi="仿宋_GB2312" w:eastAsia="仿宋_GB2312" w:cs="仿宋_GB2312"/>
          <w:b w:val="0"/>
          <w:bCs w:val="0"/>
          <w:i w:val="0"/>
          <w:iCs w:val="0"/>
          <w:highlight w:val="none"/>
        </w:rPr>
        <w:t>　　3.1.1 投标文件应包括下列内容：</w:t>
      </w:r>
    </w:p>
    <w:p>
      <w:pPr>
        <w:pageBreakBefore w:val="0"/>
        <w:widowControl w:val="0"/>
        <w:kinsoku/>
        <w:wordWrap/>
        <w:overflowPunct/>
        <w:topLinePunct w:val="0"/>
        <w:autoSpaceDE/>
        <w:autoSpaceDN/>
        <w:bidi w:val="0"/>
        <w:ind w:firstLine="420" w:firstLineChars="200"/>
        <w:textAlignment w:val="auto"/>
        <w:rPr>
          <w:rFonts w:hint="eastAsia" w:ascii="仿宋_GB2312" w:hAnsi="仿宋_GB2312" w:eastAsia="仿宋_GB2312" w:cs="仿宋_GB2312"/>
          <w:b w:val="0"/>
          <w:bCs w:val="0"/>
          <w:i w:val="0"/>
          <w:iCs w:val="0"/>
          <w:szCs w:val="21"/>
          <w:highlight w:val="none"/>
        </w:rPr>
      </w:pPr>
      <w:r>
        <w:rPr>
          <w:rFonts w:hint="eastAsia" w:ascii="仿宋_GB2312" w:hAnsi="仿宋_GB2312" w:eastAsia="仿宋_GB2312" w:cs="仿宋_GB2312"/>
          <w:b w:val="0"/>
          <w:bCs w:val="0"/>
          <w:i w:val="0"/>
          <w:iCs w:val="0"/>
          <w:szCs w:val="21"/>
          <w:highlight w:val="none"/>
        </w:rPr>
        <w:t>3.1.1.1商务标</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（1）投标函及投标函附录；</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（2）法定代表人身份证明或附有法定代表人身份证明的授权委托书；</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（3）联合体协议书；</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（4）投标保证金；</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（5）价格清单；</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（6）资格审查资料；</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（7）承诺书；</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（8）投标人须知前附表规定的其他资料。</w:t>
      </w:r>
    </w:p>
    <w:p>
      <w:pPr>
        <w:pageBreakBefore w:val="0"/>
        <w:widowControl w:val="0"/>
        <w:kinsoku/>
        <w:wordWrap/>
        <w:overflowPunct/>
        <w:topLinePunct w:val="0"/>
        <w:autoSpaceDE/>
        <w:autoSpaceDN/>
        <w:bidi w:val="0"/>
        <w:ind w:firstLine="420" w:firstLineChars="200"/>
        <w:textAlignment w:val="auto"/>
        <w:rPr>
          <w:rFonts w:hint="eastAsia" w:ascii="仿宋_GB2312" w:hAnsi="仿宋_GB2312" w:eastAsia="仿宋_GB2312" w:cs="仿宋_GB2312"/>
          <w:b w:val="0"/>
          <w:bCs/>
          <w:i w:val="0"/>
          <w:iCs w:val="0"/>
          <w:szCs w:val="21"/>
          <w:highlight w:val="none"/>
        </w:rPr>
      </w:pPr>
      <w:r>
        <w:rPr>
          <w:rFonts w:hint="eastAsia" w:ascii="仿宋_GB2312" w:hAnsi="仿宋_GB2312" w:eastAsia="仿宋_GB2312" w:cs="仿宋_GB2312"/>
          <w:b w:val="0"/>
          <w:bCs/>
          <w:i w:val="0"/>
          <w:iCs w:val="0"/>
          <w:szCs w:val="21"/>
          <w:highlight w:val="none"/>
        </w:rPr>
        <w:t>3.1.1.2技术标</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（1）承包人建议书；</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（2）承包人实施计划；</w:t>
      </w:r>
    </w:p>
    <w:p>
      <w:pPr>
        <w:pageBreakBefore w:val="0"/>
        <w:widowControl w:val="0"/>
        <w:kinsoku/>
        <w:wordWrap/>
        <w:overflowPunct/>
        <w:topLinePunct w:val="0"/>
        <w:autoSpaceDE/>
        <w:autoSpaceDN/>
        <w:bidi w:val="0"/>
        <w:spacing w:line="400" w:lineRule="exact"/>
        <w:ind w:firstLine="359" w:firstLineChars="171"/>
        <w:textAlignment w:val="auto"/>
        <w:rPr>
          <w:rFonts w:hint="eastAsia"/>
          <w:i w:val="0"/>
          <w:iCs w:val="0"/>
          <w:highlight w:val="none"/>
        </w:rPr>
      </w:pPr>
      <w:r>
        <w:rPr>
          <w:rFonts w:hint="eastAsia" w:ascii="仿宋_GB2312" w:hAnsi="仿宋_GB2312" w:eastAsia="仿宋_GB2312" w:cs="仿宋_GB2312"/>
          <w:i w:val="0"/>
          <w:iCs w:val="0"/>
          <w:highlight w:val="none"/>
        </w:rPr>
        <w:t>投标人在评标过程中作出的符合法律法规和招标文件规定的澄清确认，构成投标文件的组成部分。3.1.2 投标人须知前附表规定不接受联合体投标的，或投标人没有组成联合体的，投标文件不包括本章第3.1.1（3）目所指的联合体协议书。</w:t>
      </w:r>
      <w:r>
        <w:rPr>
          <w:rFonts w:hint="eastAsia"/>
          <w:i w:val="0"/>
          <w:iCs w:val="0"/>
          <w:highlight w:val="none"/>
        </w:rPr>
        <w:t xml:space="preserve"> </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40" w:name="_Toc247513972"/>
      <w:bookmarkStart w:id="241" w:name="_Toc152045548"/>
      <w:bookmarkStart w:id="242" w:name="_Toc247527573"/>
      <w:bookmarkStart w:id="243" w:name="_Toc144974516"/>
      <w:bookmarkStart w:id="244" w:name="_Toc152042324"/>
      <w:r>
        <w:rPr>
          <w:rFonts w:hint="eastAsia" w:ascii="Times New Roman" w:hAnsi="Times New Roman"/>
          <w:i w:val="0"/>
          <w:iCs w:val="0"/>
          <w:highlight w:val="none"/>
        </w:rPr>
        <w:t>3.2</w:t>
      </w:r>
      <w:r>
        <w:rPr>
          <w:rFonts w:hint="eastAsia"/>
          <w:i w:val="0"/>
          <w:iCs w:val="0"/>
          <w:highlight w:val="none"/>
        </w:rPr>
        <w:t xml:space="preserve"> 投标报价</w:t>
      </w:r>
      <w:bookmarkEnd w:id="240"/>
      <w:bookmarkEnd w:id="241"/>
      <w:bookmarkEnd w:id="242"/>
      <w:bookmarkEnd w:id="243"/>
      <w:bookmarkEnd w:id="244"/>
      <w:r>
        <w:rPr>
          <w:rFonts w:hint="eastAsia"/>
          <w:i w:val="0"/>
          <w:iCs w:val="0"/>
          <w:highlight w:val="none"/>
        </w:rPr>
        <w:t xml:space="preserve"> </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3.2.1 投标人应按第七章“投标文件格式”的要求填写价格清单投标报价应包括国家规定的增值税税金，除投标人须知前附表另有规定外，增值税税金按一般计税方法计算。</w:t>
      </w:r>
    </w:p>
    <w:p>
      <w:pPr>
        <w:pageBreakBefore w:val="0"/>
        <w:widowControl w:val="0"/>
        <w:kinsoku/>
        <w:wordWrap/>
        <w:overflowPunct/>
        <w:topLinePunct w:val="0"/>
        <w:autoSpaceDE/>
        <w:autoSpaceDN/>
        <w:bidi w:val="0"/>
        <w:spacing w:line="440" w:lineRule="exact"/>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highlight w:val="none"/>
        </w:rPr>
        <w:t xml:space="preserve">3.2.2 </w:t>
      </w:r>
      <w:r>
        <w:rPr>
          <w:rFonts w:hint="eastAsia" w:ascii="仿宋_GB2312" w:hAnsi="仿宋_GB2312" w:eastAsia="仿宋_GB2312" w:cs="仿宋_GB2312"/>
          <w:i w:val="0"/>
          <w:iCs w:val="0"/>
          <w:szCs w:val="21"/>
          <w:highlight w:val="none"/>
        </w:rPr>
        <w:t>投标人应充分了解施工场地的位置、周边环境、道路、装卸、保管、安装限制以及影响投标报价的其他要素。投标人根据投标设计，结合市场情况进行投标报价。</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3.2.3 投标人在投标截止时间前修改投标函中的投标报价总额，应同时修改投标文件“价格清单”中的相应报价，投标报价总额为各分项金额之和。此修改须符合本章第4.3款的有关要求。</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3.2.4 招标人设有最高投标限价的，投标人的投标报价不得超过最高投标限价，最高投标限价或其计算方法在投标人须知前附表中载明。</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3.2.5 投标报价的其他要求见投标人须知前附表。</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45" w:name="_Toc247513973"/>
      <w:bookmarkStart w:id="246" w:name="_Toc144974517"/>
      <w:bookmarkStart w:id="247" w:name="_Toc247527574"/>
      <w:bookmarkStart w:id="248" w:name="_Toc152042325"/>
      <w:bookmarkStart w:id="249" w:name="_Toc152045549"/>
      <w:r>
        <w:rPr>
          <w:rFonts w:hint="eastAsia" w:ascii="Times New Roman" w:hAnsi="Times New Roman"/>
          <w:i w:val="0"/>
          <w:iCs w:val="0"/>
          <w:highlight w:val="none"/>
        </w:rPr>
        <w:t>3.3</w:t>
      </w:r>
      <w:r>
        <w:rPr>
          <w:rFonts w:hint="eastAsia"/>
          <w:i w:val="0"/>
          <w:iCs w:val="0"/>
          <w:highlight w:val="none"/>
        </w:rPr>
        <w:t xml:space="preserve"> 投标有效期</w:t>
      </w:r>
      <w:bookmarkEnd w:id="245"/>
      <w:bookmarkEnd w:id="246"/>
      <w:bookmarkEnd w:id="247"/>
      <w:bookmarkEnd w:id="248"/>
      <w:bookmarkEnd w:id="249"/>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szCs w:val="21"/>
          <w:highlight w:val="none"/>
        </w:rPr>
        <w:t>3</w:t>
      </w:r>
      <w:r>
        <w:rPr>
          <w:rFonts w:hint="eastAsia" w:ascii="仿宋_GB2312" w:hAnsi="仿宋_GB2312" w:eastAsia="仿宋_GB2312" w:cs="仿宋_GB2312"/>
          <w:i w:val="0"/>
          <w:iCs w:val="0"/>
          <w:highlight w:val="none"/>
        </w:rPr>
        <w:t>.3.1 除投标人须知前附表另有规定外，投标有效期为120日。</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3.3.2 在投标有效期内，投标人撤销投标文件的，应承担招标文件和法律规定的责任。</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50" w:name="_Toc144974518"/>
      <w:bookmarkStart w:id="251" w:name="_Toc247527575"/>
      <w:bookmarkStart w:id="252" w:name="_Toc152045550"/>
      <w:bookmarkStart w:id="253" w:name="_Toc247513974"/>
      <w:bookmarkStart w:id="254" w:name="_Toc152042326"/>
      <w:r>
        <w:rPr>
          <w:rFonts w:hint="eastAsia" w:ascii="Times New Roman" w:hAnsi="Times New Roman"/>
          <w:i w:val="0"/>
          <w:iCs w:val="0"/>
          <w:highlight w:val="none"/>
        </w:rPr>
        <w:t>3.4</w:t>
      </w:r>
      <w:r>
        <w:rPr>
          <w:rFonts w:hint="eastAsia"/>
          <w:i w:val="0"/>
          <w:iCs w:val="0"/>
          <w:highlight w:val="none"/>
        </w:rPr>
        <w:t xml:space="preserve"> 投标保证金</w:t>
      </w:r>
      <w:bookmarkEnd w:id="250"/>
      <w:bookmarkEnd w:id="251"/>
      <w:bookmarkEnd w:id="252"/>
      <w:bookmarkEnd w:id="253"/>
      <w:bookmarkEnd w:id="254"/>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3.4.1 投标人在递交投标文件的同时，应按投标人须知前附表规定的金额、形式和第八章“投标文件格式”规定的投标保证金格式递交投标保证金，并作为其投标文件的组成部分。境内投标人以现金或者支票形式提交的投标保证金，应当从其基本账户转出并在投标文件中附上基本账户开户证明</w:t>
      </w:r>
      <w:r>
        <w:rPr>
          <w:rFonts w:hint="eastAsia" w:ascii="仿宋_GB2312" w:hAnsi="仿宋_GB2312" w:eastAsia="仿宋_GB2312" w:cs="仿宋_GB2312"/>
          <w:i w:val="0"/>
          <w:iCs w:val="0"/>
          <w:szCs w:val="21"/>
          <w:highlight w:val="none"/>
        </w:rPr>
        <w:t>（或基本存款账户信息）</w:t>
      </w:r>
      <w:r>
        <w:rPr>
          <w:rFonts w:hint="eastAsia" w:ascii="仿宋_GB2312" w:hAnsi="仿宋_GB2312" w:eastAsia="仿宋_GB2312" w:cs="仿宋_GB2312"/>
          <w:i w:val="0"/>
          <w:iCs w:val="0"/>
          <w:highlight w:val="none"/>
        </w:rPr>
        <w:t>。联合体投标的，其投标保证金可以由牵头人递交，并应符合投标人须知前附表的规定。</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3.4.2 投标人不按本章第3.4.1项要求提交投标保证金的，评标委员会将否决其投标。</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3.4.3 招标人最迟应当在书面合同签订后5日内向中标人和未中标的投标人退还投标保证金。投标保证金以现金或者支票形式递交的，还应退还银行同期存款利息。</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3.4.4 有下列情形之一的，投标保证金将不予退还：</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（1）投标人在投标有效期内撤销投标文件；</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（2）中标人在收到中标通知书后，无正当理由不与招标人订立合同，在签订合同时向招标人提出附加条件，或者不按照招标文件要求提交履约保证金；</w:t>
      </w:r>
    </w:p>
    <w:p>
      <w:pPr>
        <w:pageBreakBefore w:val="0"/>
        <w:widowControl w:val="0"/>
        <w:kinsoku/>
        <w:wordWrap/>
        <w:overflowPunct/>
        <w:topLinePunct w:val="0"/>
        <w:autoSpaceDE/>
        <w:autoSpaceDN/>
        <w:bidi w:val="0"/>
        <w:spacing w:line="400" w:lineRule="exact"/>
        <w:ind w:firstLine="315" w:firstLineChars="15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（3）发生投标人须知前附表规定的其他可以不予退还投标保证金的情形。</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55" w:name="_Toc152042327"/>
      <w:bookmarkStart w:id="256" w:name="_Toc144974519"/>
      <w:bookmarkStart w:id="257" w:name="_Toc247527576"/>
      <w:bookmarkStart w:id="258" w:name="_Toc247513975"/>
      <w:bookmarkStart w:id="259" w:name="_Toc152045551"/>
      <w:r>
        <w:rPr>
          <w:rFonts w:hint="eastAsia" w:ascii="Times New Roman" w:hAnsi="Times New Roman"/>
          <w:i w:val="0"/>
          <w:iCs w:val="0"/>
          <w:highlight w:val="none"/>
        </w:rPr>
        <w:t>3.5</w:t>
      </w:r>
      <w:r>
        <w:rPr>
          <w:rFonts w:hint="eastAsia"/>
          <w:i w:val="0"/>
          <w:iCs w:val="0"/>
          <w:highlight w:val="none"/>
        </w:rPr>
        <w:t xml:space="preserve"> 资格审查资料（适用于已进行资格预审的）</w:t>
      </w:r>
      <w:bookmarkEnd w:id="255"/>
      <w:bookmarkEnd w:id="256"/>
      <w:bookmarkEnd w:id="257"/>
      <w:bookmarkEnd w:id="258"/>
      <w:bookmarkEnd w:id="259"/>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60" w:name="_Toc247513976"/>
      <w:bookmarkStart w:id="261" w:name="_Toc152042328"/>
      <w:bookmarkStart w:id="262" w:name="_Toc152045552"/>
      <w:bookmarkStart w:id="263" w:name="_Toc144974520"/>
      <w:bookmarkStart w:id="264" w:name="_Toc247527577"/>
      <w:r>
        <w:rPr>
          <w:rFonts w:hint="eastAsia" w:ascii="Times New Roman" w:hAnsi="Times New Roman"/>
          <w:i w:val="0"/>
          <w:iCs w:val="0"/>
          <w:highlight w:val="none"/>
        </w:rPr>
        <w:t>3.5</w:t>
      </w:r>
      <w:r>
        <w:rPr>
          <w:rFonts w:hint="eastAsia"/>
          <w:i w:val="0"/>
          <w:iCs w:val="0"/>
          <w:highlight w:val="none"/>
        </w:rPr>
        <w:t xml:space="preserve"> 资格审查资料（适用于未进行资格预审的）</w:t>
      </w:r>
      <w:bookmarkEnd w:id="260"/>
      <w:bookmarkEnd w:id="261"/>
      <w:bookmarkEnd w:id="262"/>
      <w:bookmarkEnd w:id="263"/>
      <w:bookmarkEnd w:id="264"/>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除投标人须知前附表另有规定外，投标人应按下列规定提供资格审查资料，以证明其满足本章第1.4款规定的资质、财务、业绩、信誉等要求。</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3.5.1 “投标人基本情况表”应附投标人营业执照、资质证书副本等材料的扫描件，</w:t>
      </w:r>
      <w:r>
        <w:rPr>
          <w:rFonts w:hint="eastAsia" w:ascii="仿宋_GB2312" w:hAnsi="仿宋_GB2312" w:eastAsia="仿宋_GB2312" w:cs="仿宋_GB2312"/>
          <w:i w:val="0"/>
          <w:iCs w:val="0"/>
          <w:szCs w:val="22"/>
          <w:highlight w:val="none"/>
        </w:rPr>
        <w:t>以及水利建设市场监管平台（http://xypt.mwr.cn/）公布的水利建设市场主体信息完整度网页截图。</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3.5.2 “近3年财务状况表”应附经会计师事务所或审计机构审计的财务会计报表，包括封面、资产负债表、现金流量表、利润表的扫描件。投标人的成立时间少于投标人须知前附表规定年份的，应提供成立以来的财务状况表。</w:t>
      </w:r>
    </w:p>
    <w:p>
      <w:pPr>
        <w:pageBreakBefore w:val="0"/>
        <w:widowControl w:val="0"/>
        <w:kinsoku/>
        <w:wordWrap/>
        <w:overflowPunct/>
        <w:topLinePunct w:val="0"/>
        <w:autoSpaceDE/>
        <w:autoSpaceDN/>
        <w:bidi w:val="0"/>
        <w:spacing w:line="400" w:lineRule="exact"/>
        <w:ind w:firstLine="421" w:firstLineChars="200"/>
        <w:textAlignment w:val="auto"/>
        <w:rPr>
          <w:rFonts w:hint="eastAsia" w:ascii="仿宋_GB2312" w:hAnsi="仿宋_GB2312" w:eastAsia="仿宋_GB2312" w:cs="仿宋_GB2312"/>
          <w:b/>
          <w:i w:val="0"/>
          <w:iCs w:val="0"/>
          <w:sz w:val="21"/>
          <w:szCs w:val="21"/>
          <w:highlight w:val="none"/>
        </w:rPr>
      </w:pPr>
      <w:r>
        <w:rPr>
          <w:rFonts w:hint="eastAsia" w:ascii="仿宋_GB2312" w:hAnsi="仿宋_GB2312" w:eastAsia="仿宋_GB2312" w:cs="仿宋_GB2312"/>
          <w:b/>
          <w:i w:val="0"/>
          <w:iCs w:val="0"/>
          <w:highlight w:val="none"/>
        </w:rPr>
        <w:t xml:space="preserve">3.5.3 </w:t>
      </w:r>
      <w:r>
        <w:rPr>
          <w:rFonts w:hint="eastAsia" w:ascii="仿宋_GB2312" w:hAnsi="仿宋_GB2312" w:eastAsia="仿宋_GB2312" w:cs="仿宋_GB2312"/>
          <w:b/>
          <w:i w:val="0"/>
          <w:iCs w:val="0"/>
          <w:sz w:val="21"/>
          <w:szCs w:val="21"/>
          <w:highlight w:val="none"/>
        </w:rPr>
        <w:t>“近年完成的类似项目情况表”应附水利建设市场监管平台（http://xypt.mwr.gov.cn/）业绩网页截图，截图数量不限但须能反映完整的网站名称、工程名称、中标单位名称（或承包单位名称或施工企业名称），每张截图需清晰并显示完整的网址方为有效。若截图不能反映招标文件要求提供评审因素时，可在投标文件中提供项目业主开具的业绩证明。。具体时间要求见投标人须知前附表，每张表格只填写一个项目，并标明序号。</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3.5.4 “近3年发生的诉讼及仲裁情况表”应说明投标人败诉的合同相关情况，并附法院或仲裁机构作出的判决、裁决等有关法律文书扫描件，具体年份要求见投标人须知前附表。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3.5.5 投标人须知前附表规定接受联合体投标的，本章第3.5.1项至第3.5.5项规定的表格和资料应包括联合体各方相关情况。</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65" w:name="_Toc152042329"/>
      <w:bookmarkStart w:id="266" w:name="_Toc247513977"/>
      <w:bookmarkStart w:id="267" w:name="_Toc152045553"/>
      <w:bookmarkStart w:id="268" w:name="_Toc144974521"/>
      <w:bookmarkStart w:id="269" w:name="_Toc247527578"/>
      <w:r>
        <w:rPr>
          <w:rFonts w:hint="eastAsia" w:ascii="Times New Roman" w:hAnsi="Times New Roman"/>
          <w:i w:val="0"/>
          <w:iCs w:val="0"/>
          <w:highlight w:val="none"/>
        </w:rPr>
        <w:t>3.6</w:t>
      </w:r>
      <w:r>
        <w:rPr>
          <w:rFonts w:hint="eastAsia"/>
          <w:i w:val="0"/>
          <w:iCs w:val="0"/>
          <w:highlight w:val="none"/>
        </w:rPr>
        <w:t xml:space="preserve"> 备选投标方案</w:t>
      </w:r>
      <w:bookmarkEnd w:id="265"/>
      <w:bookmarkEnd w:id="266"/>
      <w:bookmarkEnd w:id="267"/>
      <w:bookmarkEnd w:id="268"/>
      <w:bookmarkEnd w:id="269"/>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70" w:name="_Toc152045554"/>
      <w:bookmarkStart w:id="271" w:name="_Toc247513978"/>
      <w:bookmarkStart w:id="272" w:name="_Toc247527579"/>
      <w:bookmarkStart w:id="273" w:name="_Toc152042330"/>
      <w:bookmarkStart w:id="274" w:name="_Toc144974522"/>
      <w:r>
        <w:rPr>
          <w:rFonts w:hint="eastAsia" w:ascii="Times New Roman" w:hAnsi="Times New Roman"/>
          <w:i w:val="0"/>
          <w:iCs w:val="0"/>
          <w:highlight w:val="none"/>
        </w:rPr>
        <w:t>3.7</w:t>
      </w:r>
      <w:r>
        <w:rPr>
          <w:rFonts w:hint="eastAsia"/>
          <w:i w:val="0"/>
          <w:iCs w:val="0"/>
          <w:highlight w:val="none"/>
        </w:rPr>
        <w:t xml:space="preserve"> 投标文件的编制</w:t>
      </w:r>
      <w:bookmarkEnd w:id="270"/>
      <w:bookmarkEnd w:id="271"/>
      <w:bookmarkEnd w:id="272"/>
      <w:bookmarkEnd w:id="273"/>
      <w:bookmarkEnd w:id="274"/>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3.7.1 投标文件应按第七章“投标文件格式”进行编写，如有必要，可以增加附页，作为投标文件的组成部分。其中，投标函附录在满足招标文件实质性要求的基础上，可以提出比招标文件要求更有利于招标人的承诺。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3.7.2 投标文件应当对招标文件有关招标范围、投标有效期、工期、质量标准、发包人要求等实质性内容作出响应。</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3.7.3 投标文件的制作应满足以下规定：</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投标文件由投标人使用电子交易系统提供的“投标文件制作工具”制作生成。“投标文件制作工具”可以通过电子交易系统下载。投标人应当在互联网络通畅状态下启用最新版投标文件制作工具制作投标文件。</w:t>
      </w:r>
    </w:p>
    <w:p>
      <w:pPr>
        <w:pageBreakBefore w:val="0"/>
        <w:widowControl w:val="0"/>
        <w:kinsoku/>
        <w:wordWrap/>
        <w:overflowPunct/>
        <w:topLinePunct w:val="0"/>
        <w:autoSpaceDE/>
        <w:autoSpaceDN/>
        <w:bidi w:val="0"/>
        <w:spacing w:line="360" w:lineRule="auto"/>
        <w:ind w:firstLine="5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（2）在第</w:t>
      </w:r>
      <w:r>
        <w:rPr>
          <w:rFonts w:hint="eastAsia" w:ascii="仿宋_GB2312" w:hAnsi="仿宋_GB2312" w:eastAsia="仿宋_GB2312" w:cs="仿宋_GB2312"/>
          <w:i w:val="0"/>
          <w:iCs w:val="0"/>
          <w:highlight w:val="none"/>
        </w:rPr>
        <w:t>七</w:t>
      </w:r>
      <w:r>
        <w:rPr>
          <w:rFonts w:hint="eastAsia" w:ascii="仿宋_GB2312" w:hAnsi="仿宋_GB2312" w:eastAsia="仿宋_GB2312" w:cs="仿宋_GB2312"/>
          <w:i w:val="0"/>
          <w:iCs w:val="0"/>
          <w:snapToGrid w:val="0"/>
          <w:kern w:val="0"/>
          <w:szCs w:val="21"/>
          <w:highlight w:val="none"/>
          <w:shd w:val="clear" w:color="auto" w:fill="FFFFFF"/>
        </w:rPr>
        <w:t>章“投标文件格式”中要求盖单位章和（或）签字处，投标人应加盖投标人单位电子印章和（或）法定代表人的个人电子印章/电子签名章。联合体投标的，除联合体协议书外（联合体各方均应加盖单位章并由法定代表人或</w:t>
      </w:r>
      <w:r>
        <w:rPr>
          <w:rFonts w:hint="eastAsia" w:ascii="仿宋_GB2312" w:hAnsi="仿宋_GB2312" w:eastAsia="仿宋_GB2312" w:cs="仿宋_GB2312"/>
          <w:i w:val="0"/>
          <w:iCs w:val="0"/>
          <w:highlight w:val="none"/>
        </w:rPr>
        <w:t>其委托代理人签字</w:t>
      </w:r>
      <w:r>
        <w:rPr>
          <w:rFonts w:hint="eastAsia" w:ascii="仿宋_GB2312" w:hAnsi="仿宋_GB2312" w:eastAsia="仿宋_GB2312" w:cs="仿宋_GB2312"/>
          <w:i w:val="0"/>
          <w:iCs w:val="0"/>
          <w:snapToGrid w:val="0"/>
          <w:kern w:val="0"/>
          <w:szCs w:val="21"/>
          <w:highlight w:val="none"/>
          <w:shd w:val="clear" w:color="auto" w:fill="FFFFFF"/>
        </w:rPr>
        <w:t>），投标文件由联合体牵头人按上述规定加盖联合体牵头人单位电子印章和（或）法定代表人的个人电子印章/电子签名章。</w:t>
      </w:r>
    </w:p>
    <w:p>
      <w:pPr>
        <w:pageBreakBefore w:val="0"/>
        <w:widowControl w:val="0"/>
        <w:kinsoku/>
        <w:wordWrap/>
        <w:overflowPunct/>
        <w:topLinePunct w:val="0"/>
        <w:autoSpaceDE/>
        <w:autoSpaceDN/>
        <w:bidi w:val="0"/>
        <w:spacing w:line="360" w:lineRule="auto"/>
        <w:ind w:firstLine="5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3.7.4 投标文件制作软件生成加密投标文件时，同时生成非加密投标文件，作为加密投标文件无法解密、导入时的补救措施。如递交，相关要求详见投标人须知前附表。</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3.7.5因投标人自身原因而导致投标文件无法导入电子交易系统电子开标、评标系统，该投标视为无效投标，投标人自行承担由此导致的全部责任。（该投标文件是指解密后的投标文件或启用补救措施下的非加密电子投标文件。）</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3.7.6</w:t>
      </w:r>
      <w:r>
        <w:rPr>
          <w:rFonts w:hint="eastAsia" w:ascii="仿宋_GB2312" w:hAnsi="仿宋_GB2312" w:eastAsia="仿宋_GB2312" w:cs="仿宋_GB2312"/>
          <w:i w:val="0"/>
          <w:iCs w:val="0"/>
          <w:highlight w:val="none"/>
        </w:rPr>
        <w:t>除投标人须知前附表另有规定外，</w:t>
      </w:r>
      <w:r>
        <w:rPr>
          <w:rFonts w:hint="eastAsia" w:ascii="仿宋_GB2312" w:hAnsi="仿宋_GB2312" w:eastAsia="仿宋_GB2312" w:cs="仿宋_GB2312"/>
          <w:i w:val="0"/>
          <w:iCs w:val="0"/>
          <w:snapToGrid w:val="0"/>
          <w:kern w:val="0"/>
          <w:szCs w:val="21"/>
          <w:highlight w:val="none"/>
          <w:shd w:val="clear" w:color="auto" w:fill="FFFFFF"/>
        </w:rPr>
        <w:t>投标文件技术标采用暗标形式，应按以下方式进行编制：</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 xml:space="preserve">（1）技术标格式统一按要求进行编制；不得在技术标文件内出现投标人名称，不得出现任何能引起判断出投标人的内容；不得在技术投标文件内出现空白页，重复页情况； </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2）技术标统一采用仿宋字体；除图纸内、表格内、框图内文字、数字采用五号大小的仿宋字体外，其它文字、数字均采用四号仿宋字体；所有文字不得有任何修饰，不得加粗和出现下划线等；不设图签，不编页码号；</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（3）技术标不做目录；页面设置为</w:t>
      </w:r>
      <w:r>
        <w:rPr>
          <w:rFonts w:hint="eastAsia" w:ascii="仿宋_GB2312" w:hAnsi="仿宋_GB2312" w:eastAsia="仿宋_GB2312" w:cs="仿宋_GB2312"/>
          <w:i w:val="0"/>
          <w:iCs w:val="0"/>
          <w:szCs w:val="21"/>
          <w:highlight w:val="none"/>
        </w:rPr>
        <w:t>上、下、左、右均为2.4cm；</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（4）技术标中不得出现任何有关投标人的资料及可以识别的记号；</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napToGrid w:val="0"/>
          <w:kern w:val="0"/>
          <w:szCs w:val="21"/>
          <w:highlight w:val="none"/>
          <w:shd w:val="clear" w:color="auto" w:fill="FFFFFF"/>
        </w:rPr>
      </w:pPr>
      <w:r>
        <w:rPr>
          <w:rFonts w:hint="eastAsia" w:ascii="仿宋_GB2312" w:hAnsi="仿宋_GB2312" w:eastAsia="仿宋_GB2312" w:cs="仿宋_GB2312"/>
          <w:i w:val="0"/>
          <w:iCs w:val="0"/>
          <w:snapToGrid w:val="0"/>
          <w:kern w:val="0"/>
          <w:szCs w:val="21"/>
          <w:highlight w:val="none"/>
          <w:shd w:val="clear" w:color="auto" w:fill="FFFFFF"/>
        </w:rPr>
        <w:t>（5）图纸严格按规范要求绘制，不设图签；图纸上所有文字和线条不得采用彩色，线条可用细、粗实线和虚线；不得注明设计单位及设计人。</w:t>
      </w:r>
    </w:p>
    <w:p>
      <w:pPr>
        <w:pStyle w:val="3"/>
        <w:pageBreakBefore w:val="0"/>
        <w:widowControl w:val="0"/>
        <w:kinsoku/>
        <w:wordWrap/>
        <w:overflowPunct/>
        <w:topLinePunct w:val="0"/>
        <w:autoSpaceDE/>
        <w:autoSpaceDN/>
        <w:bidi w:val="0"/>
        <w:spacing w:before="0" w:after="0"/>
        <w:textAlignment w:val="auto"/>
        <w:rPr>
          <w:b w:val="0"/>
          <w:bCs w:val="0"/>
          <w:i w:val="0"/>
          <w:iCs w:val="0"/>
          <w:highlight w:val="none"/>
        </w:rPr>
      </w:pPr>
      <w:bookmarkStart w:id="275" w:name="_Toc247513979"/>
      <w:bookmarkStart w:id="276" w:name="_Toc19884"/>
      <w:bookmarkStart w:id="277" w:name="_Toc152042331"/>
      <w:bookmarkStart w:id="278" w:name="_Toc144974523"/>
      <w:bookmarkStart w:id="279" w:name="_Toc247527580"/>
      <w:bookmarkStart w:id="280" w:name="_Toc152045555"/>
      <w:r>
        <w:rPr>
          <w:rFonts w:hint="eastAsia"/>
          <w:b w:val="0"/>
          <w:bCs w:val="0"/>
          <w:i w:val="0"/>
          <w:iCs w:val="0"/>
          <w:highlight w:val="none"/>
        </w:rPr>
        <w:t>4. 投标</w:t>
      </w:r>
      <w:bookmarkEnd w:id="275"/>
      <w:bookmarkEnd w:id="276"/>
      <w:bookmarkEnd w:id="277"/>
      <w:bookmarkEnd w:id="278"/>
      <w:bookmarkEnd w:id="279"/>
      <w:bookmarkEnd w:id="280"/>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81" w:name="_Toc247513980"/>
      <w:bookmarkStart w:id="282" w:name="_Toc247527581"/>
      <w:bookmarkStart w:id="283" w:name="_Toc152042332"/>
      <w:bookmarkStart w:id="284" w:name="_Toc144974524"/>
      <w:bookmarkStart w:id="285" w:name="_Toc152045556"/>
      <w:r>
        <w:rPr>
          <w:rFonts w:hint="eastAsia" w:ascii="Times New Roman" w:hAnsi="Times New Roman"/>
          <w:i w:val="0"/>
          <w:iCs w:val="0"/>
          <w:highlight w:val="none"/>
        </w:rPr>
        <w:t>4.1</w:t>
      </w:r>
      <w:r>
        <w:rPr>
          <w:rFonts w:hint="eastAsia"/>
          <w:i w:val="0"/>
          <w:iCs w:val="0"/>
          <w:highlight w:val="none"/>
        </w:rPr>
        <w:t xml:space="preserve"> 投标文件的密封和标记</w:t>
      </w:r>
      <w:bookmarkEnd w:id="281"/>
      <w:bookmarkEnd w:id="282"/>
      <w:bookmarkEnd w:id="283"/>
      <w:bookmarkEnd w:id="284"/>
      <w:bookmarkEnd w:id="285"/>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4.1.1投标文件应按照本章第 3.7.3项要求制作并加密，未按要求加密的投标文件将被拒绝接收。</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4.1.2非加密的投标文件电子介质及投标保函密封和标记要求见投标人须知前附表。非加密的投标文件电子介质及投标保函应在封口处加盖投标人单位章或由投标人的法定代人或其授权的代理人签字，未按规定封装或加写标记，招标人将不承担投标文件未被开启或提前开启的责任。</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86" w:name="_Toc152045557"/>
      <w:bookmarkStart w:id="287" w:name="_Toc247527582"/>
      <w:bookmarkStart w:id="288" w:name="_Toc247513981"/>
      <w:bookmarkStart w:id="289" w:name="_Toc152042333"/>
      <w:bookmarkStart w:id="290" w:name="_Toc144974525"/>
      <w:r>
        <w:rPr>
          <w:rFonts w:hint="eastAsia" w:ascii="Times New Roman" w:hAnsi="Times New Roman"/>
          <w:i w:val="0"/>
          <w:iCs w:val="0"/>
          <w:highlight w:val="none"/>
        </w:rPr>
        <w:t>4.2</w:t>
      </w:r>
      <w:r>
        <w:rPr>
          <w:rFonts w:hint="eastAsia"/>
          <w:i w:val="0"/>
          <w:iCs w:val="0"/>
          <w:highlight w:val="none"/>
        </w:rPr>
        <w:t xml:space="preserve"> 投标文件的递交</w:t>
      </w:r>
      <w:bookmarkEnd w:id="286"/>
      <w:bookmarkEnd w:id="287"/>
      <w:bookmarkEnd w:id="288"/>
      <w:bookmarkEnd w:id="289"/>
      <w:bookmarkEnd w:id="290"/>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4.2.1投标人应当在投标人须知前附表规定的投标截止时间前，将加密的投标文件在电子交易系统上传，并保存上传成功后系统自动生成的电子签收凭证，递交时间即为电子签收凭证时间。</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4.2.2 投标人递交非加密电子投标文件的地点：见投标人须知前附表。招标人收到非加密投标文件后由投标人代表登记或向投标人出具签收凭证。</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4.2.3 除投标人须知前附表另有规定外，投标人所递交的投标文件不予退还。</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4.2.4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4.2.5逾期送达的或者未送达指定地点的非加密投标文件电子介质，招标人不予接收，但不影响其已按招标文件要求从电子交易系统递交的加密电子投标文件的有效性。未从电子交易系统递交加密电子投标文件的，投标人递交的非加密投标文件电子介质将被视为无效。</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4.2.6 投标人在本章第5.2款规定的解密时间（以电子交易系统解密倒计时为准）内完成电子投标文件的解密工作，未能成功解密的投标人，如已按规定递交非加密投标文件电子介质，则可导入非加密投标文件电子介质继续开标。若电子交易系统识别出非加密电子投标文件和加密投标文件识别码不一致，电子</w:t>
      </w:r>
      <w:r>
        <w:rPr>
          <w:rFonts w:hint="eastAsia" w:ascii="仿宋_GB2312" w:hAnsi="仿宋_GB2312" w:eastAsia="仿宋_GB2312" w:cs="仿宋_GB2312"/>
          <w:bCs/>
          <w:i w:val="0"/>
          <w:iCs w:val="0"/>
          <w:szCs w:val="21"/>
          <w:highlight w:val="none"/>
          <w:lang w:val="en-US" w:eastAsia="zh-CN"/>
        </w:rPr>
        <w:t>开标</w:t>
      </w:r>
      <w:r>
        <w:rPr>
          <w:rFonts w:hint="eastAsia" w:ascii="仿宋_GB2312" w:hAnsi="仿宋_GB2312" w:eastAsia="仿宋_GB2312" w:cs="仿宋_GB2312"/>
          <w:i w:val="0"/>
          <w:iCs w:val="0"/>
          <w:highlight w:val="none"/>
        </w:rPr>
        <w:t>系统将拒绝导入。</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291" w:name="_Toc152042334"/>
      <w:bookmarkStart w:id="292" w:name="_Toc152045558"/>
      <w:bookmarkStart w:id="293" w:name="_Toc247527583"/>
      <w:bookmarkStart w:id="294" w:name="_Toc247513982"/>
      <w:bookmarkStart w:id="295" w:name="_Toc144974526"/>
      <w:r>
        <w:rPr>
          <w:rFonts w:hint="eastAsia" w:ascii="Times New Roman" w:hAnsi="Times New Roman"/>
          <w:i w:val="0"/>
          <w:iCs w:val="0"/>
          <w:highlight w:val="none"/>
        </w:rPr>
        <w:t>4.3</w:t>
      </w:r>
      <w:r>
        <w:rPr>
          <w:rFonts w:hint="eastAsia"/>
          <w:i w:val="0"/>
          <w:iCs w:val="0"/>
          <w:highlight w:val="none"/>
        </w:rPr>
        <w:t xml:space="preserve"> 投标文件的修改与撤回</w:t>
      </w:r>
      <w:bookmarkEnd w:id="291"/>
      <w:bookmarkEnd w:id="292"/>
      <w:bookmarkEnd w:id="293"/>
      <w:bookmarkEnd w:id="294"/>
      <w:bookmarkEnd w:id="295"/>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4.3.1 在本章第4.2.1项规定的投标截止时间前，投标人可以修改或撤回已递交的投标文件。投标人对加密的投标文件进行撤回的，应在电子交易系统直接进行撤回操作；投标人对加密的投标文件进行修改的，应在投标截止时间前完成上传。投标人修改投标文件的，应使用“投标文件制作工具”制作成完整的投标文件，并按照本章第 3 条、第 4 条规定进行编制、加密和递交。</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4.3.2 投标人修改或撤回已递交的非加密投标文件的，应当以书面形式通知招标人。书面通知应由投标人的法定代表人或其授权的代理人签字或盖单位章。招标人收到书面通知后，向投标人出具签收凭证。</w:t>
      </w:r>
    </w:p>
    <w:p>
      <w:pPr>
        <w:pStyle w:val="3"/>
        <w:pageBreakBefore w:val="0"/>
        <w:widowControl w:val="0"/>
        <w:kinsoku/>
        <w:wordWrap/>
        <w:overflowPunct/>
        <w:topLinePunct w:val="0"/>
        <w:autoSpaceDE/>
        <w:autoSpaceDN/>
        <w:bidi w:val="0"/>
        <w:spacing w:before="0" w:after="0"/>
        <w:textAlignment w:val="auto"/>
        <w:rPr>
          <w:b w:val="0"/>
          <w:bCs w:val="0"/>
          <w:i w:val="0"/>
          <w:iCs w:val="0"/>
          <w:highlight w:val="none"/>
        </w:rPr>
      </w:pPr>
      <w:bookmarkStart w:id="296" w:name="_Toc10428"/>
      <w:bookmarkStart w:id="297" w:name="_Toc247527584"/>
      <w:bookmarkStart w:id="298" w:name="_Toc144974527"/>
      <w:bookmarkStart w:id="299" w:name="_Toc247513983"/>
      <w:bookmarkStart w:id="300" w:name="_Toc152045559"/>
      <w:bookmarkStart w:id="301" w:name="_Toc152042335"/>
      <w:r>
        <w:rPr>
          <w:rFonts w:hint="eastAsia"/>
          <w:b w:val="0"/>
          <w:bCs w:val="0"/>
          <w:i w:val="0"/>
          <w:iCs w:val="0"/>
          <w:highlight w:val="none"/>
        </w:rPr>
        <w:t>5. 开标</w:t>
      </w:r>
      <w:bookmarkEnd w:id="296"/>
      <w:bookmarkEnd w:id="297"/>
      <w:bookmarkEnd w:id="298"/>
      <w:bookmarkEnd w:id="299"/>
      <w:bookmarkEnd w:id="300"/>
      <w:bookmarkEnd w:id="301"/>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02" w:name="_Toc247513984"/>
      <w:bookmarkStart w:id="303" w:name="_Toc247527585"/>
      <w:bookmarkStart w:id="304" w:name="_Toc152045560"/>
      <w:bookmarkStart w:id="305" w:name="_Toc152042336"/>
      <w:bookmarkStart w:id="306" w:name="_Toc144974528"/>
      <w:r>
        <w:rPr>
          <w:rFonts w:hint="eastAsia" w:ascii="Times New Roman" w:hAnsi="Times New Roman"/>
          <w:i w:val="0"/>
          <w:iCs w:val="0"/>
          <w:highlight w:val="none"/>
        </w:rPr>
        <w:t>5.1</w:t>
      </w:r>
      <w:r>
        <w:rPr>
          <w:rFonts w:hint="eastAsia"/>
          <w:i w:val="0"/>
          <w:iCs w:val="0"/>
          <w:highlight w:val="none"/>
        </w:rPr>
        <w:t xml:space="preserve"> 开标时间和地点</w:t>
      </w:r>
      <w:bookmarkEnd w:id="302"/>
      <w:bookmarkEnd w:id="303"/>
      <w:bookmarkEnd w:id="304"/>
      <w:bookmarkEnd w:id="305"/>
      <w:bookmarkEnd w:id="306"/>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bookmarkStart w:id="307" w:name="_Toc479262308"/>
      <w:bookmarkStart w:id="308" w:name="_Toc524462356"/>
      <w:r>
        <w:rPr>
          <w:rFonts w:hint="eastAsia" w:ascii="仿宋_GB2312" w:hAnsi="仿宋_GB2312" w:eastAsia="仿宋_GB2312" w:cs="仿宋_GB2312"/>
          <w:i w:val="0"/>
          <w:iCs w:val="0"/>
          <w:highlight w:val="none"/>
        </w:rPr>
        <w:t>招标人在本章第4.2.1项规定的投标截止时间（开标时间），</w:t>
      </w:r>
      <w:r>
        <w:rPr>
          <w:rFonts w:hint="eastAsia" w:ascii="仿宋_GB2312" w:hAnsi="宋体" w:eastAsia="仿宋_GB2312"/>
          <w:i w:val="0"/>
          <w:iCs w:val="0"/>
          <w:highlight w:val="none"/>
        </w:rPr>
        <w:t>通过</w:t>
      </w:r>
      <w:r>
        <w:rPr>
          <w:rFonts w:hint="eastAsia" w:ascii="仿宋_GB2312" w:hAnsi="宋体" w:eastAsia="仿宋_GB2312" w:cs="楷体"/>
          <w:bCs/>
          <w:i w:val="0"/>
          <w:iCs w:val="0"/>
          <w:snapToGrid w:val="0"/>
          <w:kern w:val="0"/>
          <w:szCs w:val="21"/>
          <w:highlight w:val="none"/>
        </w:rPr>
        <w:t>电子</w:t>
      </w:r>
      <w:r>
        <w:rPr>
          <w:rFonts w:hint="eastAsia" w:ascii="仿宋_GB2312" w:hAnsi="宋体" w:eastAsia="仿宋_GB2312" w:cs="楷体"/>
          <w:bCs/>
          <w:i w:val="0"/>
          <w:iCs w:val="0"/>
          <w:snapToGrid w:val="0"/>
          <w:kern w:val="0"/>
          <w:szCs w:val="21"/>
          <w:highlight w:val="none"/>
          <w:lang w:eastAsia="zh-CN"/>
        </w:rPr>
        <w:t>招标投标</w:t>
      </w:r>
      <w:r>
        <w:rPr>
          <w:rFonts w:hint="eastAsia" w:ascii="仿宋_GB2312" w:hAnsi="宋体" w:eastAsia="仿宋_GB2312" w:cs="楷体"/>
          <w:bCs/>
          <w:i w:val="0"/>
          <w:iCs w:val="0"/>
          <w:snapToGrid w:val="0"/>
          <w:kern w:val="0"/>
          <w:szCs w:val="21"/>
          <w:highlight w:val="none"/>
        </w:rPr>
        <w:t>交易</w:t>
      </w:r>
      <w:r>
        <w:rPr>
          <w:rFonts w:hint="eastAsia" w:ascii="仿宋_GB2312" w:hAnsi="宋体" w:eastAsia="仿宋_GB2312" w:cs="楷体"/>
          <w:bCs/>
          <w:i w:val="0"/>
          <w:iCs w:val="0"/>
          <w:snapToGrid w:val="0"/>
          <w:kern w:val="0"/>
          <w:szCs w:val="21"/>
          <w:highlight w:val="none"/>
          <w:lang w:eastAsia="zh-CN"/>
        </w:rPr>
        <w:t>平台</w:t>
      </w:r>
      <w:r>
        <w:rPr>
          <w:rFonts w:hint="eastAsia" w:ascii="仿宋_GB2312" w:hAnsi="宋体" w:eastAsia="仿宋_GB2312"/>
          <w:i w:val="0"/>
          <w:iCs w:val="0"/>
          <w:highlight w:val="none"/>
        </w:rPr>
        <w:t>公开开标</w:t>
      </w:r>
      <w:r>
        <w:rPr>
          <w:rFonts w:hint="eastAsia" w:ascii="仿宋_GB2312" w:hAnsi="宋体" w:eastAsia="仿宋_GB2312"/>
          <w:i w:val="0"/>
          <w:iCs w:val="0"/>
          <w:highlight w:val="none"/>
          <w:lang w:eastAsia="zh-CN"/>
        </w:rPr>
        <w:t>。</w:t>
      </w:r>
      <w:r>
        <w:rPr>
          <w:b/>
          <w:bCs/>
          <w:i w:val="0"/>
          <w:iCs w:val="0"/>
          <w:color w:val="auto"/>
        </w:rPr>
        <w:t>（具体</w:t>
      </w:r>
      <w:r>
        <w:rPr>
          <w:rFonts w:hint="eastAsia"/>
          <w:b/>
          <w:bCs/>
          <w:i w:val="0"/>
          <w:iCs w:val="0"/>
          <w:color w:val="auto"/>
        </w:rPr>
        <w:t>由交易中心据实调整</w:t>
      </w:r>
      <w:r>
        <w:rPr>
          <w:b/>
          <w:bCs/>
          <w:i w:val="0"/>
          <w:iCs w:val="0"/>
          <w:color w:val="auto"/>
        </w:rPr>
        <w:t>）</w:t>
      </w:r>
      <w:bookmarkEnd w:id="307"/>
      <w:bookmarkEnd w:id="308"/>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09" w:name="_Toc144974529"/>
      <w:bookmarkStart w:id="310" w:name="_Toc152042337"/>
      <w:bookmarkStart w:id="311" w:name="_Toc152045561"/>
      <w:bookmarkStart w:id="312" w:name="_Toc247527586"/>
      <w:bookmarkStart w:id="313" w:name="_Toc247513985"/>
      <w:r>
        <w:rPr>
          <w:rFonts w:hint="eastAsia" w:ascii="Times New Roman" w:hAnsi="Times New Roman"/>
          <w:i w:val="0"/>
          <w:iCs w:val="0"/>
          <w:highlight w:val="none"/>
        </w:rPr>
        <w:t>5.2</w:t>
      </w:r>
      <w:r>
        <w:rPr>
          <w:rFonts w:hint="eastAsia"/>
          <w:i w:val="0"/>
          <w:iCs w:val="0"/>
          <w:highlight w:val="none"/>
        </w:rPr>
        <w:t xml:space="preserve"> 开标程序</w:t>
      </w:r>
      <w:bookmarkEnd w:id="309"/>
      <w:bookmarkEnd w:id="310"/>
      <w:bookmarkEnd w:id="311"/>
      <w:bookmarkEnd w:id="312"/>
      <w:bookmarkEnd w:id="313"/>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主持人按下列程序进行开标：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（1）公布在投标截止时间前通过电子交易系统完成投标文件递交的投标人名称；</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（2）由投标人推选的代表检查非加密投标文件电子介质及投标保函原件的密封情况；（如有）</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w:t>
      </w:r>
      <w:r>
        <w:rPr>
          <w:rFonts w:hint="eastAsia" w:ascii="仿宋_GB2312" w:hAnsi="仿宋_GB2312" w:eastAsia="仿宋_GB2312" w:cs="仿宋_GB2312"/>
          <w:bCs/>
          <w:i w:val="0"/>
          <w:iCs w:val="0"/>
          <w:snapToGrid w:val="0"/>
          <w:kern w:val="0"/>
          <w:szCs w:val="21"/>
          <w:highlight w:val="none"/>
          <w:lang w:val="en-US" w:eastAsia="zh-CN"/>
        </w:rPr>
        <w:t>3</w:t>
      </w:r>
      <w:r>
        <w:rPr>
          <w:rFonts w:hint="eastAsia" w:ascii="仿宋_GB2312" w:hAnsi="仿宋_GB2312" w:eastAsia="仿宋_GB2312" w:cs="仿宋_GB2312"/>
          <w:bCs/>
          <w:i w:val="0"/>
          <w:iCs w:val="0"/>
          <w:snapToGrid w:val="0"/>
          <w:kern w:val="0"/>
          <w:szCs w:val="21"/>
          <w:highlight w:val="none"/>
        </w:rPr>
        <w:t>）投标人在投标截止时间后在投标人须知前附表规定的解密时间内完成投标文件的解密工作；</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w:t>
      </w:r>
      <w:r>
        <w:rPr>
          <w:rFonts w:hint="eastAsia" w:ascii="仿宋_GB2312" w:hAnsi="仿宋_GB2312" w:eastAsia="仿宋_GB2312" w:cs="仿宋_GB2312"/>
          <w:bCs/>
          <w:i w:val="0"/>
          <w:iCs w:val="0"/>
          <w:snapToGrid w:val="0"/>
          <w:kern w:val="0"/>
          <w:szCs w:val="21"/>
          <w:highlight w:val="none"/>
          <w:lang w:val="en-US" w:eastAsia="zh-CN"/>
        </w:rPr>
        <w:t>4</w:t>
      </w:r>
      <w:r>
        <w:rPr>
          <w:rFonts w:hint="eastAsia" w:ascii="仿宋_GB2312" w:hAnsi="仿宋_GB2312" w:eastAsia="仿宋_GB2312" w:cs="仿宋_GB2312"/>
          <w:bCs/>
          <w:i w:val="0"/>
          <w:iCs w:val="0"/>
          <w:snapToGrid w:val="0"/>
          <w:kern w:val="0"/>
          <w:szCs w:val="21"/>
          <w:highlight w:val="none"/>
        </w:rPr>
        <w:t>）招标人完成解密工作，导入并读取所有成功解密的投标文件，或招标人成功导入现场递交的非加密投标文件电子介质；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w:t>
      </w:r>
      <w:r>
        <w:rPr>
          <w:rFonts w:hint="eastAsia" w:ascii="仿宋_GB2312" w:hAnsi="仿宋_GB2312" w:eastAsia="仿宋_GB2312" w:cs="仿宋_GB2312"/>
          <w:bCs/>
          <w:i w:val="0"/>
          <w:iCs w:val="0"/>
          <w:snapToGrid w:val="0"/>
          <w:kern w:val="0"/>
          <w:szCs w:val="21"/>
          <w:highlight w:val="none"/>
          <w:lang w:val="en-US" w:eastAsia="zh-CN"/>
        </w:rPr>
        <w:t>5</w:t>
      </w:r>
      <w:r>
        <w:rPr>
          <w:rFonts w:hint="eastAsia" w:ascii="仿宋_GB2312" w:hAnsi="仿宋_GB2312" w:eastAsia="仿宋_GB2312" w:cs="仿宋_GB2312"/>
          <w:bCs/>
          <w:i w:val="0"/>
          <w:iCs w:val="0"/>
          <w:snapToGrid w:val="0"/>
          <w:kern w:val="0"/>
          <w:szCs w:val="21"/>
          <w:highlight w:val="none"/>
        </w:rPr>
        <w:t>）</w:t>
      </w:r>
      <w:r>
        <w:rPr>
          <w:rFonts w:hint="eastAsia" w:ascii="仿宋_GB2312" w:hAnsi="仿宋_GB2312" w:eastAsia="仿宋_GB2312" w:cs="仿宋_GB2312"/>
          <w:i w:val="0"/>
          <w:iCs w:val="0"/>
          <w:szCs w:val="21"/>
          <w:highlight w:val="none"/>
        </w:rPr>
        <w:t>评标办法中规定设有权重的，由系统抽取权重；</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（6）除投标人须知前附表另有规定外，公布投标人名称、标段名称、投标报价、质量目标、工期；</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bCs/>
          <w:i w:val="0"/>
          <w:iCs w:val="0"/>
          <w:snapToGrid w:val="0"/>
          <w:kern w:val="0"/>
          <w:szCs w:val="21"/>
          <w:highlight w:val="none"/>
        </w:rPr>
      </w:pPr>
      <w:r>
        <w:rPr>
          <w:rFonts w:hint="eastAsia" w:ascii="仿宋_GB2312" w:hAnsi="仿宋_GB2312" w:eastAsia="仿宋_GB2312" w:cs="仿宋_GB2312"/>
          <w:bCs/>
          <w:i w:val="0"/>
          <w:iCs w:val="0"/>
          <w:snapToGrid w:val="0"/>
          <w:kern w:val="0"/>
          <w:szCs w:val="21"/>
          <w:highlight w:val="none"/>
        </w:rPr>
        <w:t>（7）开标结束。</w:t>
      </w:r>
    </w:p>
    <w:p>
      <w:pPr>
        <w:pStyle w:val="4"/>
        <w:pageBreakBefore w:val="0"/>
        <w:widowControl w:val="0"/>
        <w:kinsoku/>
        <w:wordWrap/>
        <w:overflowPunct/>
        <w:topLinePunct w:val="0"/>
        <w:autoSpaceDE/>
        <w:autoSpaceDN/>
        <w:bidi w:val="0"/>
        <w:spacing w:before="0" w:after="0"/>
        <w:ind w:firstLine="137"/>
        <w:textAlignment w:val="auto"/>
        <w:rPr>
          <w:rFonts w:hint="eastAsia"/>
          <w:i w:val="0"/>
          <w:iCs w:val="0"/>
          <w:highlight w:val="none"/>
        </w:rPr>
      </w:pPr>
      <w:r>
        <w:rPr>
          <w:rFonts w:hint="eastAsia" w:ascii="Times New Roman" w:hAnsi="Times New Roman"/>
          <w:i w:val="0"/>
          <w:iCs w:val="0"/>
          <w:highlight w:val="none"/>
        </w:rPr>
        <w:t>5.3</w:t>
      </w:r>
      <w:r>
        <w:rPr>
          <w:rFonts w:hint="eastAsia"/>
          <w:i w:val="0"/>
          <w:iCs w:val="0"/>
          <w:highlight w:val="none"/>
        </w:rPr>
        <w:t xml:space="preserve"> 开标异议</w:t>
      </w:r>
    </w:p>
    <w:p>
      <w:pPr>
        <w:pageBreakBefore w:val="0"/>
        <w:widowControl w:val="0"/>
        <w:kinsoku/>
        <w:wordWrap/>
        <w:overflowPunct/>
        <w:topLinePunct w:val="0"/>
        <w:autoSpaceDE/>
        <w:autoSpaceDN/>
        <w:bidi w:val="0"/>
        <w:spacing w:line="400" w:lineRule="exact"/>
        <w:ind w:firstLine="359" w:firstLineChars="171"/>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投标人对开标有异议的，应当在开标现场提出，招标人当场作出答复，并制作记录。</w:t>
      </w:r>
    </w:p>
    <w:p>
      <w:pPr>
        <w:pStyle w:val="3"/>
        <w:pageBreakBefore w:val="0"/>
        <w:widowControl w:val="0"/>
        <w:kinsoku/>
        <w:wordWrap/>
        <w:overflowPunct/>
        <w:topLinePunct w:val="0"/>
        <w:autoSpaceDE/>
        <w:autoSpaceDN/>
        <w:bidi w:val="0"/>
        <w:spacing w:before="0" w:after="0"/>
        <w:textAlignment w:val="auto"/>
        <w:rPr>
          <w:b w:val="0"/>
          <w:bCs w:val="0"/>
          <w:i w:val="0"/>
          <w:iCs w:val="0"/>
          <w:highlight w:val="none"/>
        </w:rPr>
      </w:pPr>
      <w:bookmarkStart w:id="314" w:name="_Toc152042338"/>
      <w:bookmarkStart w:id="315" w:name="_Toc247527587"/>
      <w:bookmarkStart w:id="316" w:name="_Toc144974530"/>
      <w:bookmarkStart w:id="317" w:name="_Toc247513986"/>
      <w:bookmarkStart w:id="318" w:name="_Toc152045562"/>
      <w:bookmarkStart w:id="319" w:name="_Toc9090"/>
      <w:r>
        <w:rPr>
          <w:rFonts w:hint="eastAsia"/>
          <w:b w:val="0"/>
          <w:bCs w:val="0"/>
          <w:i w:val="0"/>
          <w:iCs w:val="0"/>
          <w:highlight w:val="none"/>
        </w:rPr>
        <w:t>6. 评标</w:t>
      </w:r>
      <w:bookmarkEnd w:id="314"/>
      <w:bookmarkEnd w:id="315"/>
      <w:bookmarkEnd w:id="316"/>
      <w:bookmarkEnd w:id="317"/>
      <w:bookmarkEnd w:id="318"/>
      <w:bookmarkEnd w:id="319"/>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20" w:name="_Toc247513987"/>
      <w:bookmarkStart w:id="321" w:name="_Toc152045563"/>
      <w:bookmarkStart w:id="322" w:name="_Toc144974531"/>
      <w:bookmarkStart w:id="323" w:name="_Toc152042339"/>
      <w:bookmarkStart w:id="324" w:name="_Toc247527588"/>
      <w:r>
        <w:rPr>
          <w:rFonts w:hint="eastAsia" w:ascii="Times New Roman" w:hAnsi="Times New Roman"/>
          <w:i w:val="0"/>
          <w:iCs w:val="0"/>
          <w:highlight w:val="none"/>
        </w:rPr>
        <w:t>6.1</w:t>
      </w:r>
      <w:r>
        <w:rPr>
          <w:rFonts w:hint="eastAsia"/>
          <w:i w:val="0"/>
          <w:iCs w:val="0"/>
          <w:highlight w:val="none"/>
        </w:rPr>
        <w:t xml:space="preserve"> 评标委员会</w:t>
      </w:r>
      <w:bookmarkEnd w:id="320"/>
      <w:bookmarkEnd w:id="321"/>
      <w:bookmarkEnd w:id="322"/>
      <w:bookmarkEnd w:id="323"/>
      <w:bookmarkEnd w:id="324"/>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6.1.2 评标委员会成员有下列情形之一的，应当回避：</w:t>
      </w:r>
    </w:p>
    <w:p>
      <w:pPr>
        <w:pageBreakBefore w:val="0"/>
        <w:widowControl w:val="0"/>
        <w:kinsoku/>
        <w:wordWrap/>
        <w:overflowPunct/>
        <w:topLinePunct w:val="0"/>
        <w:autoSpaceDE/>
        <w:autoSpaceDN/>
        <w:bidi w:val="0"/>
        <w:spacing w:line="400" w:lineRule="exact"/>
        <w:ind w:firstLine="718" w:firstLineChars="342"/>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（1）投标人或投标人主要负责人的近亲属；</w:t>
      </w:r>
    </w:p>
    <w:p>
      <w:pPr>
        <w:pageBreakBefore w:val="0"/>
        <w:widowControl w:val="0"/>
        <w:kinsoku/>
        <w:wordWrap/>
        <w:overflowPunct/>
        <w:topLinePunct w:val="0"/>
        <w:autoSpaceDE/>
        <w:autoSpaceDN/>
        <w:bidi w:val="0"/>
        <w:spacing w:line="400" w:lineRule="exact"/>
        <w:ind w:firstLine="718" w:firstLineChars="342"/>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（2）项目主管部门或者行政监督部门的人员；</w:t>
      </w:r>
    </w:p>
    <w:p>
      <w:pPr>
        <w:pageBreakBefore w:val="0"/>
        <w:widowControl w:val="0"/>
        <w:kinsoku/>
        <w:wordWrap/>
        <w:overflowPunct/>
        <w:topLinePunct w:val="0"/>
        <w:autoSpaceDE/>
        <w:autoSpaceDN/>
        <w:bidi w:val="0"/>
        <w:spacing w:line="400" w:lineRule="exact"/>
        <w:ind w:firstLine="718" w:firstLineChars="342"/>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（3）与投标人有经济利益关系，可能影响对投标公正评审的；</w:t>
      </w:r>
    </w:p>
    <w:p>
      <w:pPr>
        <w:pageBreakBefore w:val="0"/>
        <w:widowControl w:val="0"/>
        <w:kinsoku/>
        <w:wordWrap/>
        <w:overflowPunct/>
        <w:topLinePunct w:val="0"/>
        <w:autoSpaceDE/>
        <w:autoSpaceDN/>
        <w:bidi w:val="0"/>
        <w:spacing w:line="400" w:lineRule="exact"/>
        <w:ind w:firstLine="718" w:firstLineChars="342"/>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（4）曾因在招标、评标以及其他与招标投标有关活动中从事违法行为而受过行政处罚或刑事处罚的；</w:t>
      </w:r>
    </w:p>
    <w:p>
      <w:pPr>
        <w:pageBreakBefore w:val="0"/>
        <w:widowControl w:val="0"/>
        <w:kinsoku/>
        <w:wordWrap/>
        <w:overflowPunct/>
        <w:topLinePunct w:val="0"/>
        <w:autoSpaceDE/>
        <w:autoSpaceDN/>
        <w:bidi w:val="0"/>
        <w:spacing w:line="400" w:lineRule="exact"/>
        <w:ind w:firstLine="718" w:firstLineChars="342"/>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（5）与投标人有其他利害关系。</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25" w:name="_Toc152042340"/>
      <w:bookmarkStart w:id="326" w:name="_Toc152045564"/>
      <w:bookmarkStart w:id="327" w:name="_Toc247513988"/>
      <w:bookmarkStart w:id="328" w:name="_Toc144974532"/>
      <w:bookmarkStart w:id="329" w:name="_Toc247527589"/>
      <w:r>
        <w:rPr>
          <w:rFonts w:hint="eastAsia" w:ascii="Times New Roman" w:hAnsi="Times New Roman"/>
          <w:i w:val="0"/>
          <w:iCs w:val="0"/>
          <w:highlight w:val="none"/>
        </w:rPr>
        <w:t>6.2</w:t>
      </w:r>
      <w:r>
        <w:rPr>
          <w:rFonts w:hint="eastAsia"/>
          <w:i w:val="0"/>
          <w:iCs w:val="0"/>
          <w:highlight w:val="none"/>
        </w:rPr>
        <w:t xml:space="preserve"> 评标原则</w:t>
      </w:r>
      <w:bookmarkEnd w:id="325"/>
      <w:bookmarkEnd w:id="326"/>
      <w:bookmarkEnd w:id="327"/>
      <w:bookmarkEnd w:id="328"/>
      <w:bookmarkEnd w:id="329"/>
      <w:r>
        <w:rPr>
          <w:i w:val="0"/>
          <w:iCs w:val="0"/>
          <w:highlight w:val="none"/>
        </w:rPr>
        <w:tab/>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评标活动遵循公平、公正、科学和择优的原则。</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30" w:name="_Toc247527590"/>
      <w:bookmarkStart w:id="331" w:name="_Toc144974533"/>
      <w:bookmarkStart w:id="332" w:name="_Toc152042341"/>
      <w:bookmarkStart w:id="333" w:name="_Toc247513989"/>
      <w:bookmarkStart w:id="334" w:name="_Toc152045565"/>
      <w:r>
        <w:rPr>
          <w:rFonts w:hint="eastAsia" w:ascii="Times New Roman" w:hAnsi="Times New Roman"/>
          <w:i w:val="0"/>
          <w:iCs w:val="0"/>
          <w:highlight w:val="none"/>
        </w:rPr>
        <w:t>6.3</w:t>
      </w:r>
      <w:r>
        <w:rPr>
          <w:rFonts w:hint="eastAsia"/>
          <w:i w:val="0"/>
          <w:iCs w:val="0"/>
          <w:highlight w:val="none"/>
        </w:rPr>
        <w:t xml:space="preserve"> 评标</w:t>
      </w:r>
      <w:bookmarkEnd w:id="330"/>
      <w:bookmarkEnd w:id="331"/>
      <w:bookmarkEnd w:id="332"/>
      <w:bookmarkEnd w:id="333"/>
      <w:bookmarkEnd w:id="334"/>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6.3.1评标委员会按照第三章“评标办法”规定的方法、评审因素、标准和程序对投标文件进行评审。第三章“评标办法”没有规定的方法、评审因素和标准，不作为评标依据。</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6.3.2评标完成后，评标委员会应向招标人提交评标报告和中标候选人名单。评标委员会推荐3名中标候选人，并标明排序。</w:t>
      </w:r>
    </w:p>
    <w:p>
      <w:pPr>
        <w:pStyle w:val="3"/>
        <w:pageBreakBefore w:val="0"/>
        <w:widowControl w:val="0"/>
        <w:kinsoku/>
        <w:wordWrap/>
        <w:overflowPunct/>
        <w:topLinePunct w:val="0"/>
        <w:autoSpaceDE/>
        <w:autoSpaceDN/>
        <w:bidi w:val="0"/>
        <w:spacing w:before="0" w:after="0"/>
        <w:textAlignment w:val="auto"/>
        <w:rPr>
          <w:rFonts w:hint="eastAsia" w:ascii="黑体" w:hAnsi="黑体" w:eastAsia="黑体" w:cs="黑体"/>
          <w:b w:val="0"/>
          <w:bCs w:val="0"/>
          <w:i w:val="0"/>
          <w:iCs w:val="0"/>
          <w:highlight w:val="none"/>
        </w:rPr>
      </w:pPr>
      <w:bookmarkStart w:id="335" w:name="_Toc144974534"/>
      <w:bookmarkStart w:id="336" w:name="_Toc27076"/>
      <w:bookmarkStart w:id="337" w:name="_Toc247527591"/>
      <w:bookmarkStart w:id="338" w:name="_Toc152045566"/>
      <w:bookmarkStart w:id="339" w:name="_Toc152042342"/>
      <w:bookmarkStart w:id="340" w:name="_Toc247513990"/>
      <w:r>
        <w:rPr>
          <w:rFonts w:hint="eastAsia" w:ascii="黑体" w:hAnsi="黑体" w:eastAsia="黑体" w:cs="黑体"/>
          <w:b w:val="0"/>
          <w:bCs w:val="0"/>
          <w:i w:val="0"/>
          <w:iCs w:val="0"/>
          <w:highlight w:val="none"/>
        </w:rPr>
        <w:t>7. 合同授予</w:t>
      </w:r>
      <w:bookmarkEnd w:id="335"/>
      <w:bookmarkEnd w:id="336"/>
      <w:bookmarkEnd w:id="337"/>
      <w:bookmarkEnd w:id="338"/>
      <w:bookmarkEnd w:id="339"/>
      <w:bookmarkEnd w:id="340"/>
    </w:p>
    <w:p>
      <w:pPr>
        <w:keepNext/>
        <w:keepLines/>
        <w:pageBreakBefore w:val="0"/>
        <w:widowControl w:val="0"/>
        <w:kinsoku/>
        <w:wordWrap/>
        <w:overflowPunct/>
        <w:topLinePunct w:val="0"/>
        <w:autoSpaceDE/>
        <w:autoSpaceDN/>
        <w:bidi w:val="0"/>
        <w:textAlignment w:val="auto"/>
        <w:outlineLvl w:val="2"/>
        <w:rPr>
          <w:rFonts w:hint="eastAsia" w:ascii="黑体" w:hAnsi="黑体" w:eastAsia="黑体" w:cs="黑体"/>
          <w:b w:val="0"/>
          <w:bCs w:val="0"/>
          <w:i w:val="0"/>
          <w:iCs w:val="0"/>
          <w:sz w:val="28"/>
          <w:szCs w:val="28"/>
          <w:highlight w:val="none"/>
        </w:rPr>
      </w:pPr>
      <w:bookmarkStart w:id="341" w:name="_Toc479262315"/>
      <w:bookmarkStart w:id="342" w:name="_Toc152045567"/>
      <w:bookmarkStart w:id="343" w:name="_Toc247513991"/>
      <w:bookmarkStart w:id="344" w:name="_Toc247527592"/>
      <w:bookmarkStart w:id="345" w:name="_Toc144974535"/>
      <w:bookmarkStart w:id="346" w:name="_Toc152042343"/>
      <w:r>
        <w:rPr>
          <w:rFonts w:hint="eastAsia" w:ascii="黑体" w:hAnsi="黑体" w:eastAsia="黑体" w:cs="黑体"/>
          <w:b w:val="0"/>
          <w:bCs w:val="0"/>
          <w:i w:val="0"/>
          <w:iCs w:val="0"/>
          <w:sz w:val="28"/>
          <w:szCs w:val="28"/>
          <w:highlight w:val="none"/>
        </w:rPr>
        <w:t xml:space="preserve">7.1 </w:t>
      </w:r>
      <w:bookmarkEnd w:id="341"/>
      <w:r>
        <w:rPr>
          <w:rFonts w:hint="eastAsia" w:ascii="黑体" w:hAnsi="黑体" w:eastAsia="黑体" w:cs="黑体"/>
          <w:b w:val="0"/>
          <w:bCs w:val="0"/>
          <w:i w:val="0"/>
          <w:iCs w:val="0"/>
          <w:sz w:val="28"/>
          <w:szCs w:val="28"/>
          <w:highlight w:val="none"/>
        </w:rPr>
        <w:t>中标候选人公示</w:t>
      </w:r>
      <w:bookmarkStart w:id="347" w:name="_Toc256694820"/>
      <w:bookmarkStart w:id="348" w:name="_Toc256690944"/>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招标人在收到评标报告之日起3日内，按照投标人须知前附表规定的公示媒介和期限公示中标候选人，公示期不得少于3日，公示的内容包括：</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（1）中标候选人排序、名称、投标报价、质量、工期；</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（2）中标候选人在投标文件中承诺的项目经理和技术负责人姓名、个人业绩、相关证书名称和编号；</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（3）中标候选人在投标文件中填报的项目业绩；</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（4）被否决投标的投标人名称、否决依据和原因；</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（5）提出异议的渠道和方式；</w:t>
      </w:r>
      <w:r>
        <w:rPr>
          <w:rFonts w:hint="eastAsia" w:ascii="仿宋_GB2312" w:hAnsi="仿宋_GB2312" w:eastAsia="仿宋_GB2312" w:cs="仿宋_GB2312"/>
          <w:i w:val="0"/>
          <w:iCs w:val="0"/>
          <w:szCs w:val="21"/>
          <w:highlight w:val="none"/>
        </w:rPr>
        <w:tab/>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（6）投标人须知前附表规定公示的其他内容。</w:t>
      </w:r>
    </w:p>
    <w:bookmarkEnd w:id="347"/>
    <w:bookmarkEnd w:id="348"/>
    <w:p>
      <w:pPr>
        <w:keepNext/>
        <w:keepLines/>
        <w:pageBreakBefore w:val="0"/>
        <w:widowControl w:val="0"/>
        <w:kinsoku/>
        <w:wordWrap/>
        <w:overflowPunct/>
        <w:topLinePunct w:val="0"/>
        <w:autoSpaceDE/>
        <w:autoSpaceDN/>
        <w:bidi w:val="0"/>
        <w:textAlignment w:val="auto"/>
        <w:outlineLvl w:val="2"/>
        <w:rPr>
          <w:rFonts w:hint="eastAsia" w:ascii="黑体" w:hAnsi="黑体" w:eastAsia="黑体" w:cs="黑体"/>
          <w:b w:val="0"/>
          <w:bCs w:val="0"/>
          <w:i w:val="0"/>
          <w:iCs w:val="0"/>
          <w:sz w:val="28"/>
          <w:szCs w:val="28"/>
          <w:highlight w:val="none"/>
        </w:rPr>
      </w:pPr>
      <w:bookmarkStart w:id="349" w:name="_Toc479262316"/>
      <w:bookmarkStart w:id="350" w:name="_Toc524462364"/>
      <w:r>
        <w:rPr>
          <w:rFonts w:hint="eastAsia" w:ascii="黑体" w:hAnsi="黑体" w:eastAsia="黑体" w:cs="黑体"/>
          <w:b w:val="0"/>
          <w:bCs w:val="0"/>
          <w:i w:val="0"/>
          <w:iCs w:val="0"/>
          <w:sz w:val="28"/>
          <w:szCs w:val="28"/>
          <w:highlight w:val="none"/>
        </w:rPr>
        <w:t xml:space="preserve">7.2 </w:t>
      </w:r>
      <w:bookmarkEnd w:id="349"/>
      <w:r>
        <w:rPr>
          <w:rFonts w:hint="eastAsia" w:ascii="黑体" w:hAnsi="黑体" w:eastAsia="黑体" w:cs="黑体"/>
          <w:b w:val="0"/>
          <w:bCs w:val="0"/>
          <w:i w:val="0"/>
          <w:iCs w:val="0"/>
          <w:sz w:val="28"/>
          <w:szCs w:val="28"/>
          <w:highlight w:val="none"/>
        </w:rPr>
        <w:t>评标结果异议</w:t>
      </w:r>
      <w:bookmarkEnd w:id="350"/>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投标人或者其他利害关系人对评标结果有异议的，应当在中标候选人公示期间提出。招标人将在收到异议之日起3日内作出答复；作出答复前，将暂停招标投标活动。</w:t>
      </w:r>
    </w:p>
    <w:p>
      <w:pPr>
        <w:keepNext/>
        <w:keepLines/>
        <w:pageBreakBefore w:val="0"/>
        <w:widowControl w:val="0"/>
        <w:kinsoku/>
        <w:wordWrap/>
        <w:overflowPunct/>
        <w:topLinePunct w:val="0"/>
        <w:autoSpaceDE/>
        <w:autoSpaceDN/>
        <w:bidi w:val="0"/>
        <w:textAlignment w:val="auto"/>
        <w:outlineLvl w:val="2"/>
        <w:rPr>
          <w:rFonts w:hint="eastAsia" w:ascii="黑体" w:hAnsi="黑体" w:eastAsia="黑体" w:cs="黑体"/>
          <w:b w:val="0"/>
          <w:bCs w:val="0"/>
          <w:i w:val="0"/>
          <w:iCs w:val="0"/>
          <w:sz w:val="28"/>
          <w:szCs w:val="28"/>
          <w:highlight w:val="none"/>
        </w:rPr>
      </w:pPr>
      <w:bookmarkStart w:id="351" w:name="_Toc479262317"/>
      <w:bookmarkStart w:id="352" w:name="_Toc524462365"/>
      <w:r>
        <w:rPr>
          <w:rFonts w:hint="eastAsia" w:ascii="黑体" w:hAnsi="黑体" w:eastAsia="黑体" w:cs="黑体"/>
          <w:b w:val="0"/>
          <w:bCs w:val="0"/>
          <w:i w:val="0"/>
          <w:iCs w:val="0"/>
          <w:sz w:val="28"/>
          <w:szCs w:val="28"/>
          <w:highlight w:val="none"/>
        </w:rPr>
        <w:t xml:space="preserve">7.3 </w:t>
      </w:r>
      <w:bookmarkEnd w:id="351"/>
      <w:r>
        <w:rPr>
          <w:rFonts w:hint="eastAsia" w:ascii="黑体" w:hAnsi="黑体" w:eastAsia="黑体" w:cs="黑体"/>
          <w:b w:val="0"/>
          <w:bCs w:val="0"/>
          <w:i w:val="0"/>
          <w:iCs w:val="0"/>
          <w:sz w:val="28"/>
          <w:szCs w:val="28"/>
          <w:highlight w:val="none"/>
        </w:rPr>
        <w:t>中标候选人履约能力审查</w:t>
      </w:r>
      <w:bookmarkEnd w:id="352"/>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keepNext/>
        <w:keepLines/>
        <w:pageBreakBefore w:val="0"/>
        <w:widowControl w:val="0"/>
        <w:kinsoku/>
        <w:wordWrap/>
        <w:overflowPunct/>
        <w:topLinePunct w:val="0"/>
        <w:autoSpaceDE/>
        <w:autoSpaceDN/>
        <w:bidi w:val="0"/>
        <w:spacing w:line="240" w:lineRule="exact"/>
        <w:textAlignment w:val="auto"/>
        <w:outlineLvl w:val="2"/>
        <w:rPr>
          <w:rFonts w:hint="eastAsia" w:ascii="黑体" w:hAnsi="黑体" w:eastAsia="黑体" w:cs="黑体"/>
          <w:b w:val="0"/>
          <w:bCs w:val="0"/>
          <w:i w:val="0"/>
          <w:iCs w:val="0"/>
          <w:sz w:val="28"/>
          <w:szCs w:val="28"/>
          <w:highlight w:val="none"/>
        </w:rPr>
      </w:pPr>
      <w:bookmarkStart w:id="353" w:name="_Toc479262318"/>
      <w:bookmarkStart w:id="354" w:name="_Toc524462366"/>
      <w:r>
        <w:rPr>
          <w:rFonts w:hint="eastAsia" w:ascii="黑体" w:hAnsi="黑体" w:eastAsia="黑体" w:cs="黑体"/>
          <w:b w:val="0"/>
          <w:bCs w:val="0"/>
          <w:i w:val="0"/>
          <w:iCs w:val="0"/>
          <w:sz w:val="28"/>
          <w:szCs w:val="28"/>
          <w:highlight w:val="none"/>
        </w:rPr>
        <w:t xml:space="preserve">7.4 </w:t>
      </w:r>
      <w:bookmarkEnd w:id="353"/>
      <w:r>
        <w:rPr>
          <w:rFonts w:hint="eastAsia" w:ascii="黑体" w:hAnsi="黑体" w:eastAsia="黑体" w:cs="黑体"/>
          <w:b w:val="0"/>
          <w:bCs w:val="0"/>
          <w:i w:val="0"/>
          <w:iCs w:val="0"/>
          <w:sz w:val="28"/>
          <w:szCs w:val="28"/>
          <w:highlight w:val="none"/>
        </w:rPr>
        <w:t>定标</w:t>
      </w:r>
      <w:bookmarkEnd w:id="354"/>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招标人依据评标委员会推荐的中标候选人确定中标人。</w:t>
      </w:r>
    </w:p>
    <w:p>
      <w:pPr>
        <w:keepNext/>
        <w:keepLines/>
        <w:pageBreakBefore w:val="0"/>
        <w:widowControl w:val="0"/>
        <w:kinsoku/>
        <w:wordWrap/>
        <w:overflowPunct/>
        <w:topLinePunct w:val="0"/>
        <w:autoSpaceDE/>
        <w:autoSpaceDN/>
        <w:bidi w:val="0"/>
        <w:spacing w:line="240" w:lineRule="exact"/>
        <w:textAlignment w:val="auto"/>
        <w:outlineLvl w:val="2"/>
        <w:rPr>
          <w:rFonts w:hint="eastAsia" w:ascii="黑体" w:hAnsi="黑体" w:eastAsia="黑体" w:cs="黑体"/>
          <w:b w:val="0"/>
          <w:bCs w:val="0"/>
          <w:i w:val="0"/>
          <w:iCs w:val="0"/>
          <w:sz w:val="28"/>
          <w:szCs w:val="28"/>
          <w:highlight w:val="none"/>
        </w:rPr>
      </w:pPr>
      <w:bookmarkStart w:id="355" w:name="_Toc524462367"/>
      <w:r>
        <w:rPr>
          <w:rFonts w:hint="eastAsia" w:ascii="黑体" w:hAnsi="黑体" w:eastAsia="黑体" w:cs="黑体"/>
          <w:b w:val="0"/>
          <w:bCs w:val="0"/>
          <w:i w:val="0"/>
          <w:iCs w:val="0"/>
          <w:sz w:val="28"/>
          <w:szCs w:val="28"/>
          <w:highlight w:val="none"/>
        </w:rPr>
        <w:t>7.5 中标通知</w:t>
      </w:r>
      <w:bookmarkEnd w:id="355"/>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在本章第3.3款规定的投标有效期内，招标人以书面形式向中标人发出中标通知书，同时将中标结果通知未中标的投标人。</w:t>
      </w:r>
    </w:p>
    <w:p>
      <w:pPr>
        <w:keepNext/>
        <w:keepLines/>
        <w:pageBreakBefore w:val="0"/>
        <w:widowControl w:val="0"/>
        <w:kinsoku/>
        <w:wordWrap/>
        <w:overflowPunct/>
        <w:topLinePunct w:val="0"/>
        <w:autoSpaceDE/>
        <w:autoSpaceDN/>
        <w:bidi w:val="0"/>
        <w:spacing w:line="240" w:lineRule="exact"/>
        <w:textAlignment w:val="auto"/>
        <w:outlineLvl w:val="2"/>
        <w:rPr>
          <w:rFonts w:hint="eastAsia" w:ascii="黑体" w:hAnsi="黑体" w:eastAsia="黑体" w:cs="黑体"/>
          <w:b w:val="0"/>
          <w:bCs w:val="0"/>
          <w:i w:val="0"/>
          <w:iCs w:val="0"/>
          <w:sz w:val="28"/>
          <w:szCs w:val="28"/>
          <w:highlight w:val="none"/>
        </w:rPr>
      </w:pPr>
      <w:bookmarkStart w:id="356" w:name="_Toc524462368"/>
      <w:r>
        <w:rPr>
          <w:rFonts w:hint="eastAsia" w:ascii="黑体" w:hAnsi="黑体" w:eastAsia="黑体" w:cs="黑体"/>
          <w:b w:val="0"/>
          <w:bCs w:val="0"/>
          <w:i w:val="0"/>
          <w:iCs w:val="0"/>
          <w:sz w:val="28"/>
          <w:szCs w:val="28"/>
          <w:highlight w:val="none"/>
        </w:rPr>
        <w:t>7.6 履约保证金</w:t>
      </w:r>
      <w:bookmarkEnd w:id="356"/>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7.6.1 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7.6.2 中标人不能按本章第7.6.1项要求提交履约保证金的，视为放弃中标，其投标保证金不予退还，给招标人造成的损失超过投标保证金数额的，中标人还应当对超过部分予以赔偿。</w:t>
      </w:r>
    </w:p>
    <w:p>
      <w:pPr>
        <w:keepNext/>
        <w:keepLines/>
        <w:pageBreakBefore w:val="0"/>
        <w:widowControl w:val="0"/>
        <w:kinsoku/>
        <w:wordWrap/>
        <w:overflowPunct/>
        <w:topLinePunct w:val="0"/>
        <w:autoSpaceDE/>
        <w:autoSpaceDN/>
        <w:bidi w:val="0"/>
        <w:spacing w:line="240" w:lineRule="exact"/>
        <w:textAlignment w:val="auto"/>
        <w:outlineLvl w:val="2"/>
        <w:rPr>
          <w:rFonts w:hint="eastAsia" w:ascii="黑体" w:hAnsi="黑体" w:eastAsia="黑体" w:cs="黑体"/>
          <w:b w:val="0"/>
          <w:bCs w:val="0"/>
          <w:i w:val="0"/>
          <w:iCs w:val="0"/>
          <w:sz w:val="28"/>
          <w:szCs w:val="28"/>
          <w:highlight w:val="none"/>
        </w:rPr>
      </w:pPr>
      <w:bookmarkStart w:id="357" w:name="_Toc524462369"/>
      <w:r>
        <w:rPr>
          <w:rFonts w:hint="eastAsia" w:ascii="黑体" w:hAnsi="黑体" w:eastAsia="黑体" w:cs="黑体"/>
          <w:b w:val="0"/>
          <w:bCs w:val="0"/>
          <w:i w:val="0"/>
          <w:iCs w:val="0"/>
          <w:sz w:val="28"/>
          <w:szCs w:val="28"/>
          <w:highlight w:val="none"/>
        </w:rPr>
        <w:t>7.7 签订合同</w:t>
      </w:r>
      <w:bookmarkEnd w:id="357"/>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7.7.1 招标人和中标人应当在投标有效期内并在自中标通知书发出之日起30日内，根据招标文件和中标人的投标文件订立书面合同。中标人无正当理由拒签合同，在签订合同时向招标人提出附加条件，或者不按照招标文件要求提交履约保证金的，招标人取消其中标资格，其投标保证金不予退还；给招标人造成的损失超过投标保证金数额的，中标人还应当对超过部分予以赔偿。</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7.7.2 发出中标通知书后，招标人无正当理由拒签合同，或者在签订合同时向中标人提出附加条件的，招标人向中标人退还投标保证金；给中标人造成损失的，还应当赔偿损失。</w:t>
      </w:r>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7.7.3联合体中标的，联合体各方应当共同与招标人签订合同，就中标项目向招标人承担连带责任。</w:t>
      </w:r>
    </w:p>
    <w:p>
      <w:pPr>
        <w:keepNext/>
        <w:keepLines/>
        <w:pageBreakBefore w:val="0"/>
        <w:widowControl w:val="0"/>
        <w:kinsoku/>
        <w:wordWrap/>
        <w:overflowPunct/>
        <w:topLinePunct w:val="0"/>
        <w:autoSpaceDE/>
        <w:autoSpaceDN/>
        <w:bidi w:val="0"/>
        <w:adjustRightInd w:val="0"/>
        <w:snapToGrid w:val="0"/>
        <w:spacing w:line="600" w:lineRule="exact"/>
        <w:textAlignment w:val="auto"/>
        <w:outlineLvl w:val="1"/>
        <w:rPr>
          <w:rFonts w:hint="eastAsia" w:ascii="黑体" w:hAnsi="黑体" w:eastAsia="黑体" w:cs="黑体"/>
          <w:b w:val="0"/>
          <w:bCs w:val="0"/>
          <w:i w:val="0"/>
          <w:iCs w:val="0"/>
          <w:sz w:val="32"/>
          <w:szCs w:val="32"/>
          <w:highlight w:val="none"/>
        </w:rPr>
      </w:pPr>
      <w:bookmarkStart w:id="358" w:name="_Toc524462370"/>
      <w:bookmarkStart w:id="359" w:name="_Toc9199"/>
      <w:bookmarkStart w:id="360" w:name="_Toc53823369"/>
      <w:r>
        <w:rPr>
          <w:rFonts w:hint="eastAsia" w:ascii="黑体" w:hAnsi="黑体" w:eastAsia="黑体" w:cs="黑体"/>
          <w:b w:val="0"/>
          <w:bCs w:val="0"/>
          <w:i w:val="0"/>
          <w:iCs w:val="0"/>
          <w:sz w:val="32"/>
          <w:szCs w:val="32"/>
          <w:highlight w:val="none"/>
        </w:rPr>
        <w:t>8．重新招标和不再招标</w:t>
      </w:r>
      <w:bookmarkEnd w:id="358"/>
      <w:bookmarkEnd w:id="359"/>
      <w:bookmarkEnd w:id="360"/>
      <w:r>
        <w:rPr>
          <w:rFonts w:hint="eastAsia" w:ascii="黑体" w:hAnsi="黑体" w:eastAsia="黑体" w:cs="黑体"/>
          <w:b w:val="0"/>
          <w:bCs w:val="0"/>
          <w:i w:val="0"/>
          <w:iCs w:val="0"/>
          <w:sz w:val="32"/>
          <w:szCs w:val="32"/>
          <w:highlight w:val="none"/>
        </w:rPr>
        <w:t xml:space="preserve">  </w:t>
      </w:r>
    </w:p>
    <w:p>
      <w:pPr>
        <w:keepNext/>
        <w:keepLines/>
        <w:pageBreakBefore w:val="0"/>
        <w:widowControl w:val="0"/>
        <w:kinsoku/>
        <w:wordWrap/>
        <w:overflowPunct/>
        <w:topLinePunct w:val="0"/>
        <w:autoSpaceDE/>
        <w:autoSpaceDN/>
        <w:bidi w:val="0"/>
        <w:spacing w:line="240" w:lineRule="exact"/>
        <w:textAlignment w:val="auto"/>
        <w:outlineLvl w:val="2"/>
        <w:rPr>
          <w:rFonts w:hint="eastAsia" w:ascii="黑体" w:hAnsi="黑体" w:eastAsia="黑体" w:cs="黑体"/>
          <w:b w:val="0"/>
          <w:bCs w:val="0"/>
          <w:i w:val="0"/>
          <w:iCs w:val="0"/>
          <w:sz w:val="28"/>
          <w:szCs w:val="28"/>
          <w:highlight w:val="none"/>
        </w:rPr>
      </w:pPr>
      <w:bookmarkStart w:id="361" w:name="_Toc524462371"/>
      <w:r>
        <w:rPr>
          <w:rFonts w:hint="eastAsia" w:ascii="黑体" w:hAnsi="黑体" w:eastAsia="黑体" w:cs="黑体"/>
          <w:b w:val="0"/>
          <w:bCs w:val="0"/>
          <w:i w:val="0"/>
          <w:iCs w:val="0"/>
          <w:sz w:val="28"/>
          <w:szCs w:val="28"/>
          <w:highlight w:val="none"/>
        </w:rPr>
        <w:t>8.1 重新招标</w:t>
      </w:r>
      <w:bookmarkEnd w:id="361"/>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有下列情形之一的，招标人将重新招标：</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（1）投标截止时间止，投标人少于3个的；</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（2）经评标委员会评审后否决所有投标的；</w:t>
      </w:r>
    </w:p>
    <w:p>
      <w:pPr>
        <w:pageBreakBefore w:val="0"/>
        <w:widowControl w:val="0"/>
        <w:tabs>
          <w:tab w:val="left" w:pos="966"/>
        </w:tabs>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（3）评标委员会否决不合格投标后，因有效投标不足3个使得投标明显缺乏竞争的，评标委员会决定否决全部投标的；</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（4）同意延长投标有效期的投标人少于3个的；</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（5）中标候选人均未与招标人签订合同的。</w:t>
      </w:r>
    </w:p>
    <w:p>
      <w:pPr>
        <w:keepNext/>
        <w:keepLines/>
        <w:pageBreakBefore w:val="0"/>
        <w:widowControl w:val="0"/>
        <w:kinsoku/>
        <w:wordWrap/>
        <w:overflowPunct/>
        <w:topLinePunct w:val="0"/>
        <w:autoSpaceDE/>
        <w:autoSpaceDN/>
        <w:bidi w:val="0"/>
        <w:spacing w:line="240" w:lineRule="exact"/>
        <w:textAlignment w:val="auto"/>
        <w:outlineLvl w:val="2"/>
        <w:rPr>
          <w:rFonts w:hint="eastAsia" w:ascii="黑体" w:hAnsi="黑体" w:eastAsia="黑体" w:cs="黑体"/>
          <w:b w:val="0"/>
          <w:bCs w:val="0"/>
          <w:i w:val="0"/>
          <w:iCs w:val="0"/>
          <w:sz w:val="28"/>
          <w:szCs w:val="28"/>
          <w:highlight w:val="none"/>
        </w:rPr>
      </w:pPr>
      <w:bookmarkStart w:id="362" w:name="_Toc524462372"/>
      <w:r>
        <w:rPr>
          <w:rFonts w:hint="eastAsia" w:ascii="黑体" w:hAnsi="黑体" w:eastAsia="黑体" w:cs="黑体"/>
          <w:b w:val="0"/>
          <w:bCs w:val="0"/>
          <w:i w:val="0"/>
          <w:iCs w:val="0"/>
          <w:sz w:val="28"/>
          <w:szCs w:val="28"/>
          <w:highlight w:val="none"/>
        </w:rPr>
        <w:t>8.2 不再招标</w:t>
      </w:r>
      <w:bookmarkEnd w:id="362"/>
    </w:p>
    <w:p>
      <w:pPr>
        <w:pageBreakBefore w:val="0"/>
        <w:widowControl w:val="0"/>
        <w:kinsoku/>
        <w:wordWrap/>
        <w:overflowPunct/>
        <w:topLinePunct w:val="0"/>
        <w:autoSpaceDE/>
        <w:autoSpaceDN/>
        <w:bidi w:val="0"/>
        <w:spacing w:line="360" w:lineRule="auto"/>
        <w:ind w:firstLine="420" w:firstLineChars="200"/>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重新招标后，仍出现本章第8.1款规定情形之一的，属于必须审批、核准的水利工程建设项目，经项目行政监督与管理部门审批、核准后可以不再进行招标。</w:t>
      </w:r>
    </w:p>
    <w:bookmarkEnd w:id="342"/>
    <w:bookmarkEnd w:id="343"/>
    <w:bookmarkEnd w:id="344"/>
    <w:bookmarkEnd w:id="345"/>
    <w:bookmarkEnd w:id="346"/>
    <w:p>
      <w:pPr>
        <w:pStyle w:val="3"/>
        <w:pageBreakBefore w:val="0"/>
        <w:widowControl w:val="0"/>
        <w:kinsoku/>
        <w:wordWrap/>
        <w:overflowPunct/>
        <w:topLinePunct w:val="0"/>
        <w:autoSpaceDE/>
        <w:autoSpaceDN/>
        <w:bidi w:val="0"/>
        <w:spacing w:before="0" w:after="0"/>
        <w:textAlignment w:val="auto"/>
        <w:rPr>
          <w:rFonts w:hint="eastAsia" w:ascii="黑体" w:hAnsi="黑体" w:eastAsia="黑体" w:cs="黑体"/>
          <w:b w:val="0"/>
          <w:bCs w:val="0"/>
          <w:i w:val="0"/>
          <w:iCs w:val="0"/>
          <w:highlight w:val="none"/>
        </w:rPr>
      </w:pPr>
      <w:bookmarkStart w:id="363" w:name="_Toc247513995"/>
      <w:bookmarkStart w:id="364" w:name="_Toc152045571"/>
      <w:bookmarkStart w:id="365" w:name="_Toc152042347"/>
      <w:bookmarkStart w:id="366" w:name="_Toc144974539"/>
      <w:bookmarkStart w:id="367" w:name="_Toc247527596"/>
      <w:bookmarkStart w:id="368" w:name="_Toc31879"/>
      <w:r>
        <w:rPr>
          <w:rFonts w:hint="eastAsia" w:ascii="黑体" w:hAnsi="黑体" w:eastAsia="黑体" w:cs="黑体"/>
          <w:b w:val="0"/>
          <w:bCs w:val="0"/>
          <w:i w:val="0"/>
          <w:iCs w:val="0"/>
          <w:highlight w:val="none"/>
        </w:rPr>
        <w:t>9.</w:t>
      </w:r>
      <w:bookmarkEnd w:id="363"/>
      <w:bookmarkEnd w:id="364"/>
      <w:bookmarkEnd w:id="365"/>
      <w:bookmarkEnd w:id="366"/>
      <w:bookmarkEnd w:id="367"/>
      <w:bookmarkStart w:id="369" w:name="_Toc152042350"/>
      <w:bookmarkStart w:id="370" w:name="_Toc247513998"/>
      <w:bookmarkStart w:id="371" w:name="_Toc144974542"/>
      <w:bookmarkStart w:id="372" w:name="_Toc247527599"/>
      <w:bookmarkStart w:id="373" w:name="_Toc152045574"/>
      <w:r>
        <w:rPr>
          <w:rFonts w:hint="eastAsia" w:ascii="黑体" w:hAnsi="黑体" w:eastAsia="黑体" w:cs="黑体"/>
          <w:b w:val="0"/>
          <w:bCs w:val="0"/>
          <w:i w:val="0"/>
          <w:iCs w:val="0"/>
          <w:highlight w:val="none"/>
        </w:rPr>
        <w:t xml:space="preserve"> 纪律和监督</w:t>
      </w:r>
      <w:bookmarkEnd w:id="368"/>
      <w:bookmarkEnd w:id="369"/>
      <w:bookmarkEnd w:id="370"/>
      <w:bookmarkEnd w:id="371"/>
      <w:bookmarkEnd w:id="372"/>
      <w:bookmarkEnd w:id="373"/>
    </w:p>
    <w:p>
      <w:pPr>
        <w:pStyle w:val="4"/>
        <w:pageBreakBefore w:val="0"/>
        <w:widowControl w:val="0"/>
        <w:kinsoku/>
        <w:wordWrap/>
        <w:overflowPunct/>
        <w:topLinePunct w:val="0"/>
        <w:autoSpaceDE/>
        <w:autoSpaceDN/>
        <w:bidi w:val="0"/>
        <w:spacing w:before="0" w:after="0"/>
        <w:ind w:firstLine="137"/>
        <w:textAlignment w:val="auto"/>
        <w:rPr>
          <w:rFonts w:hint="eastAsia" w:ascii="黑体" w:hAnsi="黑体" w:eastAsia="黑体" w:cs="黑体"/>
          <w:b w:val="0"/>
          <w:bCs w:val="0"/>
          <w:i w:val="0"/>
          <w:iCs w:val="0"/>
          <w:highlight w:val="none"/>
        </w:rPr>
      </w:pPr>
      <w:bookmarkStart w:id="374" w:name="_Toc247513999"/>
      <w:bookmarkStart w:id="375" w:name="_Toc152045575"/>
      <w:bookmarkStart w:id="376" w:name="_Toc247527600"/>
      <w:bookmarkStart w:id="377" w:name="_Toc144974543"/>
      <w:bookmarkStart w:id="378" w:name="_Toc152042351"/>
      <w:r>
        <w:rPr>
          <w:rFonts w:hint="eastAsia" w:ascii="黑体" w:hAnsi="黑体" w:eastAsia="黑体" w:cs="黑体"/>
          <w:b w:val="0"/>
          <w:bCs w:val="0"/>
          <w:i w:val="0"/>
          <w:iCs w:val="0"/>
          <w:highlight w:val="none"/>
        </w:rPr>
        <w:t>9.1 对招标人的纪律要求</w:t>
      </w:r>
      <w:bookmarkEnd w:id="374"/>
      <w:bookmarkEnd w:id="375"/>
      <w:bookmarkEnd w:id="376"/>
      <w:bookmarkEnd w:id="377"/>
      <w:bookmarkEnd w:id="378"/>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招标人不得泄漏招标投标活动中应当保密的情况和资料，不得与投标人串通损害国家利益、社会公共利益或者他人合法权益。</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有下列情形之一的，属于招标人与投标人串通投标：</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（1）招标人在开标前开启投标文件并将有关信息泄露给其他投标人；</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（2）招标人直接或者间接向投标人泄露评标委员会成员等信息；</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（3）招标人明示或者暗示投标人压低或者抬高投标报价；</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（4）招标人授意投标人撤换、修改投标文件；</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（5）招标人明示或者暗示投标人为特定投标人中标提供方便；</w:t>
      </w:r>
    </w:p>
    <w:p>
      <w:pPr>
        <w:pageBreakBefore w:val="0"/>
        <w:widowControl w:val="0"/>
        <w:kinsoku/>
        <w:wordWrap/>
        <w:overflowPunct/>
        <w:topLinePunct w:val="0"/>
        <w:autoSpaceDE/>
        <w:autoSpaceDN/>
        <w:bidi w:val="0"/>
        <w:spacing w:line="360" w:lineRule="auto"/>
        <w:ind w:firstLine="363" w:firstLineChars="173"/>
        <w:textAlignment w:val="auto"/>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（6）招标人与投标人为谋求特定投标人中标而采取的其他串通行为。</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79" w:name="_Toc152045576"/>
      <w:bookmarkStart w:id="380" w:name="_Toc152042352"/>
      <w:bookmarkStart w:id="381" w:name="_Toc144974544"/>
      <w:bookmarkStart w:id="382" w:name="_Toc247514000"/>
      <w:bookmarkStart w:id="383" w:name="_Toc247527601"/>
      <w:r>
        <w:rPr>
          <w:rFonts w:hint="eastAsia" w:ascii="Times New Roman" w:hAnsi="Times New Roman"/>
          <w:i w:val="0"/>
          <w:iCs w:val="0"/>
          <w:highlight w:val="none"/>
        </w:rPr>
        <w:t>9.2</w:t>
      </w:r>
      <w:r>
        <w:rPr>
          <w:rFonts w:hint="eastAsia"/>
          <w:i w:val="0"/>
          <w:iCs w:val="0"/>
          <w:highlight w:val="none"/>
        </w:rPr>
        <w:t xml:space="preserve"> 对投标人的纪律要求</w:t>
      </w:r>
      <w:bookmarkEnd w:id="379"/>
      <w:bookmarkEnd w:id="380"/>
      <w:bookmarkEnd w:id="381"/>
      <w:bookmarkEnd w:id="382"/>
      <w:bookmarkEnd w:id="383"/>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9.2.1 投标人相互串通投标情形认定</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9.2.1.1有下列情形之一的，属于投标人相互串通投标：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（1）投标人之间协商投标报价等投标文件的实质性内容；</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（2）投标人之间约定中标人；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（3）投标人之间约定部分投标人放弃投标或者中标；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（4）属于同一集团、协会、商会等组织成员的投标人按照该组织要求协同投标；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（5）投标人之间为谋取中标或者排斥特定投标人而采取的其他联合行动。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9.2.</w:t>
      </w:r>
      <w:r>
        <w:rPr>
          <w:rFonts w:hint="eastAsia" w:ascii="仿宋_GB2312" w:hAnsi="仿宋_GB2312" w:eastAsia="仿宋_GB2312" w:cs="仿宋_GB2312"/>
          <w:i w:val="0"/>
          <w:iCs w:val="0"/>
          <w:highlight w:val="none"/>
          <w:lang w:val="en-US" w:eastAsia="zh-CN"/>
        </w:rPr>
        <w:t>1</w:t>
      </w:r>
      <w:r>
        <w:rPr>
          <w:rFonts w:hint="eastAsia" w:ascii="仿宋_GB2312" w:hAnsi="仿宋_GB2312" w:eastAsia="仿宋_GB2312" w:cs="仿宋_GB2312"/>
          <w:i w:val="0"/>
          <w:iCs w:val="0"/>
          <w:highlight w:val="none"/>
        </w:rPr>
        <w:t>.2有下列情形之一的，视为投标人相互串通投标：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（1）不同投标人的投标文件由同一单位或者个人编制；</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（2）不同投标人委托同一单位或者个人办理投标事宜；</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（3）不同投标人的投标文件载明的项目管理成员为同一人；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（4）不同投标人的投标文件异常一致或者投标报价呈规律性差异；</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（5）不同投标人的投标文件相互混装；</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（6）不同投标人的投标保证金从同一单位或者个人的账户转出。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9.2.2 有下列情形之一的，属于以他人名义投标：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（1）投标人挂靠其他单位；</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（2）使用通过受让或者租借等方式获取的资格、资质证书投标；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（3）由其它单位及法定代表人在自己编制的投标文件上加盖电子印章/电子签名章；</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（4）法律法规规定的其它情形。</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9.2.3出借借用资质的情形</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出借借用资质，是指允许其他单位、个人以本单位名义承揽工程或者单位、个人以其他单位的名义承揽工程的行为。在此所称承揽工程，包括参与投标、订立合同、从事项目管理等活动。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具有下列情形之一的，认定为出借借用资质：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（1）单位或个人借用其他单位的资质承揽工程的；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（2）投标人法定代表人的授权代表人不是投标人本单位人员的；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（3）实际项目管理总承包（PMC）单位使用承包人资质中标后，以承包人分公司、项目部等名义组织实施，但两者无实质产权、人事、财务关系的；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（4）工程分包的发包单位不是该工程的承包人的，但项目法人依约作为发包单位的除外；</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（6）承包人派驻现场的项目经理、技术负责人、财务负责人、质量管理人员、安全管理人员中部分人员不是本单位人员的；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（7）承包人与项目法人之间没有工程款收付关系，或者工程款支付凭证上载明的单位与项目管理总承包（PMC）合同中载明的承包单位不一致的；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（8）合同约定由承包人负责采购、租赁的主要建筑材料、工程设备等，由其他单位或个人采购、租赁，或者承包人不能提供有关采购、租赁合同及发票等证明，又不能进行合理解释并提供材料证明的；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（9）法律法规规定的其他出借借用资质行为。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上述本单位人员，是指在本单位工作，并与本单位签订劳动合同，由本单位支付劳动报酬、缴纳社会保险的人员。</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9.2.4 有下列情形之一的，属于弄虚作假投标：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（1）使用伪造、变造的许可证件；</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（2）提供虚假的财务状况或者业绩；</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（3）提供虚假的项目负责人或者主要技术人员简历、劳动关系证明；</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lang w:eastAsia="zh-CN"/>
        </w:rPr>
      </w:pPr>
      <w:r>
        <w:rPr>
          <w:rFonts w:hint="eastAsia" w:ascii="仿宋_GB2312" w:hAnsi="仿宋_GB2312" w:eastAsia="仿宋_GB2312" w:cs="仿宋_GB2312"/>
          <w:i w:val="0"/>
          <w:iCs w:val="0"/>
          <w:highlight w:val="none"/>
        </w:rPr>
        <w:t>（4）提供虚假的信用状况</w:t>
      </w:r>
      <w:r>
        <w:rPr>
          <w:rFonts w:hint="eastAsia" w:ascii="仿宋_GB2312" w:hAnsi="仿宋_GB2312" w:eastAsia="仿宋_GB2312" w:cs="仿宋_GB2312"/>
          <w:i w:val="0"/>
          <w:iCs w:val="0"/>
          <w:highlight w:val="none"/>
          <w:lang w:eastAsia="zh-CN"/>
        </w:rPr>
        <w:t>；</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（5）法律法规、规章规定的其他弄虚作假行为。</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84" w:name="_Toc152042353"/>
      <w:bookmarkStart w:id="385" w:name="_Toc247514001"/>
      <w:bookmarkStart w:id="386" w:name="_Toc144974545"/>
      <w:bookmarkStart w:id="387" w:name="_Toc247527602"/>
      <w:bookmarkStart w:id="388" w:name="_Toc152045577"/>
      <w:r>
        <w:rPr>
          <w:rFonts w:hint="eastAsia" w:ascii="Times New Roman" w:hAnsi="Times New Roman"/>
          <w:i w:val="0"/>
          <w:iCs w:val="0"/>
          <w:highlight w:val="none"/>
        </w:rPr>
        <w:t>9.3</w:t>
      </w:r>
      <w:r>
        <w:rPr>
          <w:rFonts w:hint="eastAsia"/>
          <w:i w:val="0"/>
          <w:iCs w:val="0"/>
          <w:highlight w:val="none"/>
        </w:rPr>
        <w:t xml:space="preserve"> 对评标委员会成员的纪律要求</w:t>
      </w:r>
      <w:bookmarkEnd w:id="384"/>
      <w:bookmarkEnd w:id="385"/>
      <w:bookmarkEnd w:id="386"/>
      <w:bookmarkEnd w:id="387"/>
      <w:bookmarkEnd w:id="388"/>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89" w:name="_Toc247527603"/>
      <w:bookmarkStart w:id="390" w:name="_Toc247514002"/>
      <w:bookmarkStart w:id="391" w:name="_Toc152042354"/>
      <w:bookmarkStart w:id="392" w:name="_Toc152045578"/>
      <w:bookmarkStart w:id="393" w:name="_Toc144974546"/>
      <w:r>
        <w:rPr>
          <w:rFonts w:hint="eastAsia" w:ascii="Times New Roman" w:hAnsi="Times New Roman"/>
          <w:i w:val="0"/>
          <w:iCs w:val="0"/>
          <w:highlight w:val="none"/>
        </w:rPr>
        <w:t>9.4</w:t>
      </w:r>
      <w:r>
        <w:rPr>
          <w:rFonts w:hint="eastAsia"/>
          <w:i w:val="0"/>
          <w:iCs w:val="0"/>
          <w:highlight w:val="none"/>
        </w:rPr>
        <w:t xml:space="preserve"> 对与评标活动有关的工作人员的纪律要求</w:t>
      </w:r>
      <w:bookmarkEnd w:id="389"/>
      <w:bookmarkEnd w:id="390"/>
      <w:bookmarkEnd w:id="391"/>
      <w:bookmarkEnd w:id="392"/>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bookmarkStart w:id="394" w:name="_Toc152042355"/>
      <w:r>
        <w:rPr>
          <w:rFonts w:hint="eastAsia" w:ascii="仿宋_GB2312" w:hAnsi="仿宋_GB2312" w:eastAsia="仿宋_GB2312" w:cs="仿宋_GB2312"/>
          <w:i w:val="0"/>
          <w:iCs w:val="0"/>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94"/>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395" w:name="_Toc152042356"/>
      <w:bookmarkStart w:id="396" w:name="_Toc152045579"/>
      <w:bookmarkStart w:id="397" w:name="_Toc247514003"/>
      <w:bookmarkStart w:id="398" w:name="_Toc247527604"/>
      <w:r>
        <w:rPr>
          <w:rFonts w:hint="eastAsia" w:ascii="Times New Roman" w:hAnsi="Times New Roman"/>
          <w:i w:val="0"/>
          <w:iCs w:val="0"/>
          <w:highlight w:val="none"/>
        </w:rPr>
        <w:t>9.5</w:t>
      </w:r>
      <w:r>
        <w:rPr>
          <w:rFonts w:hint="eastAsia"/>
          <w:i w:val="0"/>
          <w:iCs w:val="0"/>
          <w:highlight w:val="none"/>
        </w:rPr>
        <w:t xml:space="preserve"> 投诉</w:t>
      </w:r>
      <w:bookmarkEnd w:id="393"/>
      <w:bookmarkEnd w:id="395"/>
      <w:bookmarkEnd w:id="396"/>
      <w:bookmarkEnd w:id="397"/>
      <w:bookmarkEnd w:id="398"/>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投标人和其他利害关系人认为本次招标活动违反法律、法规和规章规定的，有权向有关行政监督部门投诉。</w:t>
      </w:r>
    </w:p>
    <w:p>
      <w:pPr>
        <w:pStyle w:val="3"/>
        <w:pageBreakBefore w:val="0"/>
        <w:widowControl w:val="0"/>
        <w:kinsoku/>
        <w:wordWrap/>
        <w:overflowPunct/>
        <w:topLinePunct w:val="0"/>
        <w:autoSpaceDE/>
        <w:autoSpaceDN/>
        <w:bidi w:val="0"/>
        <w:spacing w:before="0" w:after="0"/>
        <w:textAlignment w:val="auto"/>
        <w:rPr>
          <w:b w:val="0"/>
          <w:bCs w:val="0"/>
          <w:i w:val="0"/>
          <w:iCs w:val="0"/>
          <w:highlight w:val="none"/>
        </w:rPr>
      </w:pPr>
      <w:bookmarkStart w:id="399" w:name="_Toc144974547"/>
      <w:bookmarkStart w:id="400" w:name="_Toc247527605"/>
      <w:bookmarkStart w:id="401" w:name="_Toc247514004"/>
      <w:bookmarkStart w:id="402" w:name="_Toc152042357"/>
      <w:bookmarkStart w:id="403" w:name="_Toc152045580"/>
      <w:bookmarkStart w:id="404" w:name="_Toc5030"/>
      <w:r>
        <w:rPr>
          <w:rFonts w:hint="eastAsia"/>
          <w:b w:val="0"/>
          <w:bCs w:val="0"/>
          <w:i w:val="0"/>
          <w:iCs w:val="0"/>
          <w:highlight w:val="none"/>
        </w:rPr>
        <w:t>10. 需要补充的其他内容</w:t>
      </w:r>
      <w:bookmarkEnd w:id="399"/>
      <w:bookmarkEnd w:id="400"/>
      <w:bookmarkEnd w:id="401"/>
      <w:bookmarkEnd w:id="402"/>
      <w:bookmarkEnd w:id="403"/>
      <w:bookmarkEnd w:id="404"/>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需要补充的其他内容：见投标人须知前附表。</w:t>
      </w:r>
    </w:p>
    <w:p>
      <w:pPr>
        <w:pStyle w:val="3"/>
        <w:spacing w:before="120" w:after="120" w:line="600" w:lineRule="exact"/>
        <w:jc w:val="both"/>
        <w:rPr>
          <w:rFonts w:hint="eastAsia" w:ascii="仿宋_GB2312" w:hAnsi="宋体" w:eastAsia="仿宋_GB2312"/>
          <w:i w:val="0"/>
          <w:iCs w:val="0"/>
          <w:highlight w:val="none"/>
        </w:rPr>
      </w:pPr>
      <w:r>
        <w:rPr>
          <w:i w:val="0"/>
          <w:iCs w:val="0"/>
          <w:highlight w:val="none"/>
        </w:rPr>
        <w:br w:type="page"/>
      </w:r>
      <w:bookmarkStart w:id="405" w:name="_Toc1937548610"/>
      <w:bookmarkStart w:id="406" w:name="_Toc2303"/>
      <w:bookmarkStart w:id="407" w:name="_Toc152042358"/>
      <w:bookmarkStart w:id="408" w:name="_Toc247514005"/>
      <w:bookmarkStart w:id="409" w:name="_Toc247527606"/>
      <w:bookmarkStart w:id="410" w:name="_Toc152045581"/>
      <w:bookmarkStart w:id="411" w:name="_Toc144974548"/>
      <w:r>
        <w:rPr>
          <w:rFonts w:hint="eastAsia" w:ascii="仿宋_GB2312" w:hAnsi="宋体" w:eastAsia="仿宋_GB2312"/>
          <w:b w:val="0"/>
          <w:bCs w:val="0"/>
          <w:i w:val="0"/>
          <w:iCs w:val="0"/>
          <w:sz w:val="28"/>
          <w:szCs w:val="28"/>
          <w:highlight w:val="none"/>
        </w:rPr>
        <w:t>附件一：招标文件澄清申请函</w:t>
      </w:r>
      <w:bookmarkEnd w:id="405"/>
      <w:bookmarkEnd w:id="406"/>
    </w:p>
    <w:p>
      <w:pPr>
        <w:spacing w:line="360" w:lineRule="auto"/>
        <w:jc w:val="center"/>
        <w:rPr>
          <w:rFonts w:ascii="黑体" w:hAnsi="黑体" w:eastAsia="黑体"/>
          <w:b w:val="0"/>
          <w:bCs/>
          <w:i w:val="0"/>
          <w:iCs w:val="0"/>
          <w:sz w:val="32"/>
          <w:szCs w:val="32"/>
          <w:highlight w:val="none"/>
        </w:rPr>
      </w:pPr>
      <w:r>
        <w:rPr>
          <w:rFonts w:hint="eastAsia" w:ascii="黑体" w:hAnsi="黑体" w:eastAsia="黑体"/>
          <w:b w:val="0"/>
          <w:bCs/>
          <w:i w:val="0"/>
          <w:iCs w:val="0"/>
          <w:sz w:val="32"/>
          <w:szCs w:val="32"/>
          <w:highlight w:val="none"/>
        </w:rPr>
        <w:t>招标文件澄清申请函</w:t>
      </w:r>
    </w:p>
    <w:p>
      <w:pPr>
        <w:spacing w:line="360" w:lineRule="auto"/>
        <w:jc w:val="center"/>
        <w:rPr>
          <w:rFonts w:hint="eastAsia" w:ascii="仿宋_GB2312" w:hAnsi="_x000B__x000C_" w:eastAsia="仿宋_GB2312"/>
          <w:b/>
          <w:i w:val="0"/>
          <w:iCs w:val="0"/>
          <w:sz w:val="24"/>
          <w:highlight w:val="none"/>
        </w:rPr>
      </w:pPr>
      <w:r>
        <w:rPr>
          <w:rFonts w:hint="eastAsia" w:ascii="仿宋_GB2312" w:hAnsi="_x000B__x000C_" w:eastAsia="仿宋_GB2312"/>
          <w:i w:val="0"/>
          <w:iCs w:val="0"/>
          <w:szCs w:val="21"/>
          <w:highlight w:val="none"/>
        </w:rPr>
        <w:t>编号：</w:t>
      </w:r>
    </w:p>
    <w:p>
      <w:pPr>
        <w:spacing w:line="360" w:lineRule="auto"/>
        <w:jc w:val="left"/>
        <w:rPr>
          <w:rFonts w:hint="eastAsia" w:ascii="仿宋_GB2312" w:hAnsi="_x000B__x000C_" w:eastAsia="仿宋_GB2312"/>
          <w:i w:val="0"/>
          <w:iCs w:val="0"/>
          <w:szCs w:val="21"/>
          <w:highlight w:val="none"/>
        </w:rPr>
      </w:pP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 xml:space="preserve">（招标人名称）: </w:t>
      </w:r>
    </w:p>
    <w:p>
      <w:pPr>
        <w:spacing w:line="360" w:lineRule="auto"/>
        <w:jc w:val="left"/>
        <w:rPr>
          <w:rFonts w:hint="eastAsia" w:ascii="仿宋_GB2312" w:hAnsi="_x000B__x000C_" w:eastAsia="仿宋_GB2312"/>
          <w:i w:val="0"/>
          <w:iCs w:val="0"/>
          <w:szCs w:val="21"/>
          <w:highlight w:val="none"/>
        </w:rPr>
      </w:pPr>
    </w:p>
    <w:p>
      <w:pPr>
        <w:spacing w:line="360" w:lineRule="auto"/>
        <w:ind w:firstLine="525" w:firstLineChars="250"/>
        <w:rPr>
          <w:rFonts w:hint="eastAsia" w:ascii="仿宋_GB2312" w:hAnsi="_x000B__x000C_" w:eastAsia="仿宋_GB2312"/>
          <w:i w:val="0"/>
          <w:iCs w:val="0"/>
          <w:szCs w:val="21"/>
          <w:highlight w:val="none"/>
        </w:rPr>
      </w:pPr>
      <w:r>
        <w:rPr>
          <w:rFonts w:hint="eastAsia" w:ascii="仿宋_GB2312" w:hAnsi="_x000B__x000C_" w:eastAsia="仿宋_GB2312"/>
          <w:i w:val="0"/>
          <w:iCs w:val="0"/>
          <w:szCs w:val="21"/>
          <w:highlight w:val="none"/>
        </w:rPr>
        <w:t>经过仔细阅读</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（项目名称）</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 xml:space="preserve">（标段名称）招标文件后，我方申请对以下问题予以澄清： </w:t>
      </w:r>
    </w:p>
    <w:p>
      <w:pPr>
        <w:spacing w:line="360" w:lineRule="auto"/>
        <w:ind w:firstLine="525" w:firstLineChars="250"/>
        <w:rPr>
          <w:rFonts w:hint="eastAsia" w:ascii="仿宋_GB2312" w:hAnsi="_x000B__x000C_" w:eastAsia="仿宋_GB2312"/>
          <w:i w:val="0"/>
          <w:iCs w:val="0"/>
          <w:szCs w:val="21"/>
          <w:highlight w:val="none"/>
        </w:rPr>
      </w:pPr>
    </w:p>
    <w:p>
      <w:pPr>
        <w:spacing w:line="360" w:lineRule="auto"/>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1．</w:t>
      </w:r>
    </w:p>
    <w:p>
      <w:pPr>
        <w:spacing w:line="360" w:lineRule="auto"/>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2．</w:t>
      </w:r>
    </w:p>
    <w:p>
      <w:pPr>
        <w:spacing w:line="360" w:lineRule="exact"/>
        <w:ind w:firstLine="840" w:firstLineChars="4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w:t>
      </w:r>
    </w:p>
    <w:p>
      <w:pPr>
        <w:spacing w:line="360" w:lineRule="auto"/>
        <w:jc w:val="right"/>
        <w:rPr>
          <w:rFonts w:hint="eastAsia" w:ascii="仿宋_GB2312" w:hAnsi="_x000B__x000C_" w:eastAsia="仿宋_GB2312"/>
          <w:i w:val="0"/>
          <w:iCs w:val="0"/>
          <w:szCs w:val="21"/>
          <w:highlight w:val="none"/>
        </w:rPr>
      </w:pPr>
      <w:r>
        <w:rPr>
          <w:rFonts w:hint="eastAsia" w:ascii="仿宋_GB2312" w:hAnsi="_x000B__x000C_" w:eastAsia="仿宋_GB2312"/>
          <w:i w:val="0"/>
          <w:iCs w:val="0"/>
          <w:szCs w:val="21"/>
          <w:highlight w:val="none"/>
        </w:rPr>
        <w:t>投标人：</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（盖单位章）</w:t>
      </w:r>
    </w:p>
    <w:p>
      <w:pPr>
        <w:spacing w:line="360" w:lineRule="auto"/>
        <w:jc w:val="right"/>
        <w:rPr>
          <w:rFonts w:hint="eastAsia" w:ascii="仿宋_GB2312" w:hAnsi="_x000B__x000C_" w:eastAsia="仿宋_GB2312"/>
          <w:i w:val="0"/>
          <w:iCs w:val="0"/>
          <w:szCs w:val="21"/>
          <w:highlight w:val="none"/>
          <w:u w:val="single"/>
        </w:rPr>
      </w:pPr>
    </w:p>
    <w:p>
      <w:pPr>
        <w:spacing w:line="360" w:lineRule="auto"/>
        <w:ind w:right="630" w:firstLine="5460" w:firstLineChars="2600"/>
        <w:jc w:val="right"/>
        <w:rPr>
          <w:rFonts w:hint="eastAsia" w:ascii="仿宋_GB2312" w:hAnsi="_x000B__x000C_" w:eastAsia="仿宋_GB2312"/>
          <w:i w:val="0"/>
          <w:iCs w:val="0"/>
          <w:szCs w:val="21"/>
          <w:highlight w:val="none"/>
        </w:rPr>
      </w:pP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年</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月</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日</w:t>
      </w:r>
    </w:p>
    <w:p>
      <w:pPr>
        <w:autoSpaceDE w:val="0"/>
        <w:autoSpaceDN w:val="0"/>
        <w:adjustRightInd w:val="0"/>
        <w:spacing w:line="440" w:lineRule="exact"/>
        <w:jc w:val="left"/>
        <w:rPr>
          <w:rFonts w:ascii="_x000B__x000C_" w:hAnsi="_x000B__x000C_" w:cs="Arial"/>
          <w:i w:val="0"/>
          <w:iCs w:val="0"/>
          <w:kern w:val="0"/>
          <w:szCs w:val="21"/>
          <w:highlight w:val="none"/>
        </w:rPr>
      </w:pPr>
      <w:r>
        <w:rPr>
          <w:rFonts w:hint="eastAsia" w:ascii="仿宋_GB2312" w:hAnsi="_x000B__x000C_" w:eastAsia="仿宋_GB2312"/>
          <w:i w:val="0"/>
          <w:iCs w:val="0"/>
          <w:kern w:val="0"/>
          <w:szCs w:val="21"/>
          <w:highlight w:val="none"/>
        </w:rPr>
        <w:t>注</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kern w:val="0"/>
          <w:szCs w:val="21"/>
          <w:highlight w:val="none"/>
        </w:rPr>
        <w:t>投标人要求招标人澄清招标文件有关问题时</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kern w:val="0"/>
          <w:szCs w:val="21"/>
          <w:highlight w:val="none"/>
        </w:rPr>
        <w:t>适用于本格式</w:t>
      </w:r>
      <w:r>
        <w:rPr>
          <w:rFonts w:hint="eastAsia" w:ascii="仿宋_GB2312" w:hAnsi="_x000B__x000C_" w:eastAsia="仿宋_GB2312" w:cs="Arial"/>
          <w:i w:val="0"/>
          <w:iCs w:val="0"/>
          <w:kern w:val="0"/>
          <w:szCs w:val="21"/>
          <w:highlight w:val="none"/>
        </w:rPr>
        <w:t>。</w:t>
      </w:r>
    </w:p>
    <w:p>
      <w:pPr>
        <w:rPr>
          <w:rFonts w:ascii="_x000B__x000C_" w:hAnsi="_x000B__x000C_"/>
          <w:i w:val="0"/>
          <w:iCs w:val="0"/>
          <w:highlight w:val="none"/>
        </w:rPr>
      </w:pPr>
    </w:p>
    <w:p>
      <w:pPr>
        <w:pStyle w:val="3"/>
        <w:spacing w:before="120" w:after="120" w:line="600" w:lineRule="exact"/>
        <w:jc w:val="both"/>
        <w:rPr>
          <w:rFonts w:hint="eastAsia" w:ascii="仿宋_GB2312" w:hAnsi="宋体" w:eastAsia="仿宋_GB2312"/>
          <w:b w:val="0"/>
          <w:bCs w:val="0"/>
          <w:i w:val="0"/>
          <w:iCs w:val="0"/>
          <w:sz w:val="28"/>
          <w:szCs w:val="28"/>
          <w:highlight w:val="none"/>
        </w:rPr>
      </w:pPr>
      <w:bookmarkStart w:id="412" w:name="_Toc256164763"/>
      <w:bookmarkStart w:id="413" w:name="_Toc256145670"/>
      <w:bookmarkStart w:id="414" w:name="_Toc261618329"/>
      <w:bookmarkStart w:id="415" w:name="_Toc255907518"/>
      <w:bookmarkStart w:id="416" w:name="_Toc479262331"/>
      <w:bookmarkStart w:id="417" w:name="_Toc523551004"/>
      <w:bookmarkStart w:id="418" w:name="_Toc24705"/>
      <w:bookmarkStart w:id="419" w:name="_Toc524462382"/>
      <w:r>
        <w:rPr>
          <w:rFonts w:hint="eastAsia" w:ascii="仿宋_GB2312" w:hAnsi="宋体" w:eastAsia="仿宋_GB2312"/>
          <w:b w:val="0"/>
          <w:bCs w:val="0"/>
          <w:i w:val="0"/>
          <w:iCs w:val="0"/>
          <w:sz w:val="28"/>
          <w:szCs w:val="28"/>
          <w:highlight w:val="none"/>
        </w:rPr>
        <w:t>附件二：招标文件澄清通知</w:t>
      </w:r>
      <w:bookmarkEnd w:id="412"/>
      <w:bookmarkEnd w:id="413"/>
      <w:bookmarkEnd w:id="414"/>
      <w:bookmarkEnd w:id="415"/>
      <w:bookmarkEnd w:id="416"/>
      <w:bookmarkEnd w:id="417"/>
      <w:bookmarkEnd w:id="418"/>
      <w:bookmarkEnd w:id="419"/>
    </w:p>
    <w:p>
      <w:pPr>
        <w:rPr>
          <w:rFonts w:ascii="宋体" w:hAnsi="宋体"/>
          <w:b/>
          <w:i w:val="0"/>
          <w:iCs w:val="0"/>
          <w:dstrike/>
          <w:sz w:val="24"/>
          <w:highlight w:val="none"/>
        </w:rPr>
      </w:pPr>
    </w:p>
    <w:p>
      <w:pPr>
        <w:spacing w:line="360" w:lineRule="auto"/>
        <w:jc w:val="center"/>
        <w:rPr>
          <w:rFonts w:ascii="黑体" w:hAnsi="黑体" w:eastAsia="黑体"/>
          <w:b w:val="0"/>
          <w:bCs/>
          <w:i w:val="0"/>
          <w:iCs w:val="0"/>
          <w:sz w:val="32"/>
          <w:szCs w:val="32"/>
          <w:highlight w:val="none"/>
        </w:rPr>
      </w:pPr>
      <w:r>
        <w:rPr>
          <w:rFonts w:hint="eastAsia" w:ascii="黑体" w:hAnsi="黑体" w:eastAsia="黑体"/>
          <w:b w:val="0"/>
          <w:bCs/>
          <w:i w:val="0"/>
          <w:iCs w:val="0"/>
          <w:sz w:val="32"/>
          <w:szCs w:val="32"/>
          <w:highlight w:val="none"/>
        </w:rPr>
        <w:t>招标文件澄清通知</w:t>
      </w:r>
    </w:p>
    <w:p>
      <w:pPr>
        <w:spacing w:line="360" w:lineRule="auto"/>
        <w:jc w:val="center"/>
        <w:rPr>
          <w:rFonts w:hint="eastAsia" w:ascii="仿宋_GB2312" w:hAnsi="宋体" w:eastAsia="仿宋_GB2312"/>
          <w:b/>
          <w:i w:val="0"/>
          <w:iCs w:val="0"/>
          <w:sz w:val="24"/>
          <w:highlight w:val="none"/>
        </w:rPr>
      </w:pPr>
      <w:r>
        <w:rPr>
          <w:rFonts w:hint="eastAsia" w:ascii="仿宋_GB2312" w:hAnsi="宋体" w:eastAsia="仿宋_GB2312"/>
          <w:i w:val="0"/>
          <w:iCs w:val="0"/>
          <w:szCs w:val="21"/>
          <w:highlight w:val="none"/>
        </w:rPr>
        <w:t>编号：</w:t>
      </w:r>
    </w:p>
    <w:p>
      <w:pPr>
        <w:spacing w:line="360" w:lineRule="exact"/>
        <w:jc w:val="left"/>
        <w:rPr>
          <w:rFonts w:hint="eastAsia" w:ascii="仿宋_GB2312" w:hAnsi="宋体" w:eastAsia="仿宋_GB2312"/>
          <w:i w:val="0"/>
          <w:iCs w:val="0"/>
          <w:szCs w:val="21"/>
          <w:highlight w:val="none"/>
        </w:rPr>
      </w:pPr>
      <w:r>
        <w:rPr>
          <w:rFonts w:hint="eastAsia" w:ascii="仿宋_GB2312" w:hAnsi="宋体" w:eastAsia="仿宋_GB2312"/>
          <w:b/>
          <w:i w:val="0"/>
          <w:iCs w:val="0"/>
          <w:szCs w:val="21"/>
          <w:highlight w:val="none"/>
          <w:u w:val="single"/>
        </w:rPr>
        <w:t>各潜在投标人</w:t>
      </w:r>
      <w:r>
        <w:rPr>
          <w:rFonts w:hint="eastAsia" w:ascii="仿宋_GB2312" w:hAnsi="宋体" w:eastAsia="仿宋_GB2312"/>
          <w:i w:val="0"/>
          <w:iCs w:val="0"/>
          <w:szCs w:val="21"/>
          <w:highlight w:val="none"/>
        </w:rPr>
        <w:t xml:space="preserve">: </w:t>
      </w:r>
    </w:p>
    <w:p>
      <w:pPr>
        <w:spacing w:line="360" w:lineRule="exact"/>
        <w:jc w:val="left"/>
        <w:rPr>
          <w:rFonts w:hint="eastAsia" w:ascii="仿宋_GB2312" w:hAnsi="宋体" w:eastAsia="仿宋_GB2312"/>
          <w:i w:val="0"/>
          <w:iCs w:val="0"/>
          <w:szCs w:val="21"/>
          <w:highlight w:val="none"/>
        </w:rPr>
      </w:pPr>
    </w:p>
    <w:p>
      <w:pPr>
        <w:spacing w:line="360" w:lineRule="exact"/>
        <w:ind w:firstLine="525" w:firstLineChars="25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经研究，对</w:t>
      </w:r>
      <w:r>
        <w:rPr>
          <w:rFonts w:hint="eastAsia" w:ascii="仿宋_GB2312" w:hAnsi="宋体" w:eastAsia="仿宋_GB2312"/>
          <w:i w:val="0"/>
          <w:iCs w:val="0"/>
          <w:szCs w:val="21"/>
          <w:highlight w:val="none"/>
          <w:u w:val="single"/>
        </w:rPr>
        <w:t xml:space="preserve">          </w:t>
      </w:r>
      <w:r>
        <w:rPr>
          <w:rFonts w:hint="eastAsia" w:ascii="仿宋_GB2312" w:hAnsi="宋体" w:eastAsia="仿宋_GB2312"/>
          <w:i w:val="0"/>
          <w:iCs w:val="0"/>
          <w:szCs w:val="21"/>
          <w:highlight w:val="none"/>
        </w:rPr>
        <w:t>（项目名称）</w:t>
      </w:r>
      <w:r>
        <w:rPr>
          <w:rFonts w:hint="eastAsia" w:ascii="仿宋_GB2312" w:hAnsi="宋体" w:eastAsia="仿宋_GB2312"/>
          <w:i w:val="0"/>
          <w:iCs w:val="0"/>
          <w:szCs w:val="21"/>
          <w:highlight w:val="none"/>
          <w:u w:val="single"/>
        </w:rPr>
        <w:t xml:space="preserve">          </w:t>
      </w:r>
      <w:r>
        <w:rPr>
          <w:rFonts w:hint="eastAsia" w:ascii="仿宋_GB2312" w:hAnsi="宋体" w:eastAsia="仿宋_GB2312"/>
          <w:i w:val="0"/>
          <w:iCs w:val="0"/>
          <w:szCs w:val="21"/>
          <w:highlight w:val="none"/>
        </w:rPr>
        <w:t xml:space="preserve">（标段名称）招标文件，作如下澄清： </w:t>
      </w:r>
    </w:p>
    <w:p>
      <w:pPr>
        <w:spacing w:line="360" w:lineRule="exact"/>
        <w:ind w:firstLine="525" w:firstLineChars="250"/>
        <w:rPr>
          <w:rFonts w:hint="eastAsia" w:ascii="仿宋_GB2312" w:hAnsi="宋体" w:eastAsia="仿宋_GB2312"/>
          <w:i w:val="0"/>
          <w:iCs w:val="0"/>
          <w:szCs w:val="21"/>
          <w:highlight w:val="none"/>
        </w:rPr>
      </w:pPr>
    </w:p>
    <w:p>
      <w:pPr>
        <w:spacing w:line="360" w:lineRule="auto"/>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1．</w:t>
      </w:r>
    </w:p>
    <w:p>
      <w:pPr>
        <w:spacing w:line="360" w:lineRule="auto"/>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2．</w:t>
      </w:r>
    </w:p>
    <w:p>
      <w:pPr>
        <w:spacing w:line="360" w:lineRule="exact"/>
        <w:ind w:firstLine="840" w:firstLineChars="4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w:t>
      </w:r>
    </w:p>
    <w:p>
      <w:pPr>
        <w:autoSpaceDE w:val="0"/>
        <w:autoSpaceDN w:val="0"/>
        <w:adjustRightInd w:val="0"/>
        <w:spacing w:line="360" w:lineRule="exact"/>
        <w:jc w:val="right"/>
        <w:rPr>
          <w:rFonts w:hint="eastAsia" w:ascii="仿宋_GB2312" w:hAnsi="宋体" w:eastAsia="仿宋_GB2312"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招标人</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 xml:space="preserve"> （</w:t>
      </w:r>
      <w:r>
        <w:rPr>
          <w:rFonts w:hint="eastAsia" w:ascii="仿宋_GB2312" w:hAnsi="宋体" w:eastAsia="仿宋_GB2312" w:cs="SSJ-PK7482000002d-Identity-H"/>
          <w:i w:val="0"/>
          <w:iCs w:val="0"/>
          <w:kern w:val="0"/>
          <w:szCs w:val="21"/>
          <w:highlight w:val="none"/>
        </w:rPr>
        <w:t>盖单位章</w:t>
      </w:r>
      <w:r>
        <w:rPr>
          <w:rFonts w:hint="eastAsia" w:ascii="仿宋_GB2312" w:hAnsi="宋体" w:eastAsia="仿宋_GB2312" w:cs="H-SS9-PK74820000032-Identity-H"/>
          <w:i w:val="0"/>
          <w:iCs w:val="0"/>
          <w:kern w:val="0"/>
          <w:szCs w:val="21"/>
          <w:highlight w:val="none"/>
        </w:rPr>
        <w:t>）</w:t>
      </w:r>
    </w:p>
    <w:p>
      <w:pPr>
        <w:autoSpaceDE w:val="0"/>
        <w:autoSpaceDN w:val="0"/>
        <w:adjustRightInd w:val="0"/>
        <w:spacing w:line="360" w:lineRule="exact"/>
        <w:jc w:val="right"/>
        <w:rPr>
          <w:rFonts w:hint="eastAsia" w:ascii="仿宋_GB2312" w:hAnsi="宋体" w:eastAsia="仿宋_GB2312" w:cs="SSJ-PK7482000002d-Identity-H"/>
          <w:i w:val="0"/>
          <w:iCs w:val="0"/>
          <w:kern w:val="0"/>
          <w:szCs w:val="21"/>
          <w:highlight w:val="none"/>
        </w:rPr>
      </w:pP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年</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月</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日</w:t>
      </w:r>
    </w:p>
    <w:p>
      <w:pPr>
        <w:autoSpaceDE w:val="0"/>
        <w:autoSpaceDN w:val="0"/>
        <w:adjustRightInd w:val="0"/>
        <w:spacing w:line="360" w:lineRule="exact"/>
        <w:ind w:left="433" w:hanging="432" w:hangingChars="206"/>
        <w:jc w:val="left"/>
        <w:rPr>
          <w:rFonts w:ascii="宋体" w:hAnsi="宋体"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注</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招标人对招标文件有关问题澄清时</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适用于本格式</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招标人可根据需要将附件二与附件三内容合并发出</w:t>
      </w:r>
      <w:r>
        <w:rPr>
          <w:rFonts w:hint="eastAsia" w:ascii="仿宋_GB2312" w:hAnsi="宋体" w:eastAsia="仿宋_GB2312" w:cs="H-SS9-PK74820000032-Identity-H"/>
          <w:i w:val="0"/>
          <w:iCs w:val="0"/>
          <w:kern w:val="0"/>
          <w:szCs w:val="21"/>
          <w:highlight w:val="none"/>
        </w:rPr>
        <w:t>。</w:t>
      </w:r>
    </w:p>
    <w:p>
      <w:pPr>
        <w:pStyle w:val="3"/>
        <w:spacing w:before="120" w:after="120" w:line="600" w:lineRule="exact"/>
        <w:jc w:val="both"/>
        <w:rPr>
          <w:rFonts w:hint="eastAsia" w:ascii="仿宋_GB2312" w:hAnsi="宋体" w:eastAsia="仿宋_GB2312"/>
          <w:b w:val="0"/>
          <w:bCs w:val="0"/>
          <w:i w:val="0"/>
          <w:iCs w:val="0"/>
          <w:sz w:val="28"/>
          <w:szCs w:val="28"/>
          <w:highlight w:val="none"/>
        </w:rPr>
      </w:pPr>
      <w:bookmarkStart w:id="420" w:name="_Toc256164764"/>
      <w:bookmarkStart w:id="421" w:name="_Toc261618330"/>
      <w:bookmarkStart w:id="422" w:name="_Toc255907519"/>
      <w:bookmarkStart w:id="423" w:name="_Toc479262332"/>
      <w:bookmarkStart w:id="424" w:name="_Toc1484676183"/>
      <w:bookmarkStart w:id="425" w:name="_Toc256145671"/>
      <w:bookmarkStart w:id="426" w:name="_Toc15427"/>
      <w:bookmarkStart w:id="427" w:name="_Toc524462383"/>
      <w:r>
        <w:rPr>
          <w:rFonts w:hint="eastAsia" w:ascii="仿宋_GB2312" w:hAnsi="宋体" w:eastAsia="仿宋_GB2312"/>
          <w:b w:val="0"/>
          <w:bCs w:val="0"/>
          <w:i w:val="0"/>
          <w:iCs w:val="0"/>
          <w:sz w:val="28"/>
          <w:szCs w:val="28"/>
          <w:highlight w:val="none"/>
        </w:rPr>
        <w:t>附件三：招标文件修改通知</w:t>
      </w:r>
      <w:bookmarkEnd w:id="420"/>
      <w:bookmarkEnd w:id="421"/>
      <w:bookmarkEnd w:id="422"/>
      <w:bookmarkEnd w:id="423"/>
      <w:bookmarkEnd w:id="424"/>
      <w:bookmarkEnd w:id="425"/>
      <w:bookmarkEnd w:id="426"/>
      <w:bookmarkEnd w:id="427"/>
    </w:p>
    <w:p>
      <w:pPr>
        <w:spacing w:line="360" w:lineRule="auto"/>
        <w:jc w:val="center"/>
        <w:rPr>
          <w:rFonts w:ascii="宋体" w:hAnsi="宋体"/>
          <w:b/>
          <w:i w:val="0"/>
          <w:iCs w:val="0"/>
          <w:sz w:val="24"/>
          <w:highlight w:val="none"/>
        </w:rPr>
      </w:pPr>
    </w:p>
    <w:p>
      <w:pPr>
        <w:spacing w:line="360" w:lineRule="auto"/>
        <w:jc w:val="center"/>
        <w:rPr>
          <w:rFonts w:ascii="黑体" w:hAnsi="黑体" w:eastAsia="黑体"/>
          <w:b w:val="0"/>
          <w:bCs/>
          <w:i w:val="0"/>
          <w:iCs w:val="0"/>
          <w:sz w:val="32"/>
          <w:szCs w:val="32"/>
          <w:highlight w:val="none"/>
        </w:rPr>
      </w:pPr>
      <w:r>
        <w:rPr>
          <w:rFonts w:hint="eastAsia" w:ascii="黑体" w:hAnsi="黑体" w:eastAsia="黑体"/>
          <w:b w:val="0"/>
          <w:bCs/>
          <w:i w:val="0"/>
          <w:iCs w:val="0"/>
          <w:sz w:val="32"/>
          <w:szCs w:val="32"/>
          <w:highlight w:val="none"/>
        </w:rPr>
        <w:t>招标文件修改通知</w:t>
      </w:r>
    </w:p>
    <w:p>
      <w:pPr>
        <w:spacing w:line="360" w:lineRule="auto"/>
        <w:jc w:val="center"/>
        <w:rPr>
          <w:rFonts w:hint="eastAsia" w:ascii="仿宋_GB2312" w:hAnsi="宋体" w:eastAsia="仿宋_GB2312"/>
          <w:b/>
          <w:i w:val="0"/>
          <w:iCs w:val="0"/>
          <w:sz w:val="24"/>
          <w:highlight w:val="none"/>
        </w:rPr>
      </w:pPr>
      <w:r>
        <w:rPr>
          <w:rFonts w:hint="eastAsia" w:ascii="仿宋_GB2312" w:hAnsi="宋体" w:eastAsia="仿宋_GB2312"/>
          <w:i w:val="0"/>
          <w:iCs w:val="0"/>
          <w:szCs w:val="21"/>
          <w:highlight w:val="none"/>
        </w:rPr>
        <w:t>编号：</w:t>
      </w:r>
    </w:p>
    <w:p>
      <w:pPr>
        <w:autoSpaceDE w:val="0"/>
        <w:autoSpaceDN w:val="0"/>
        <w:adjustRightInd w:val="0"/>
        <w:spacing w:line="440" w:lineRule="exact"/>
        <w:jc w:val="left"/>
        <w:rPr>
          <w:rFonts w:hint="eastAsia" w:ascii="仿宋_GB2312" w:hAnsi="宋体" w:eastAsia="仿宋_GB2312" w:cs="H-SS9-PK74820000032-Identity-H"/>
          <w:i w:val="0"/>
          <w:iCs w:val="0"/>
          <w:kern w:val="0"/>
          <w:szCs w:val="21"/>
          <w:highlight w:val="none"/>
        </w:rPr>
      </w:pPr>
      <w:r>
        <w:rPr>
          <w:rFonts w:hint="eastAsia" w:ascii="仿宋_GB2312" w:hAnsi="宋体" w:eastAsia="仿宋_GB2312"/>
          <w:b/>
          <w:i w:val="0"/>
          <w:iCs w:val="0"/>
          <w:szCs w:val="21"/>
          <w:highlight w:val="none"/>
          <w:u w:val="single"/>
        </w:rPr>
        <w:t>各潜在投标人</w:t>
      </w:r>
      <w:r>
        <w:rPr>
          <w:rFonts w:hint="eastAsia" w:ascii="仿宋_GB2312" w:hAnsi="宋体" w:eastAsia="仿宋_GB2312" w:cs="H-SS9-PK74820000032-Identity-H"/>
          <w:i w:val="0"/>
          <w:iCs w:val="0"/>
          <w:kern w:val="0"/>
          <w:szCs w:val="21"/>
          <w:highlight w:val="none"/>
        </w:rPr>
        <w:t>：</w:t>
      </w:r>
    </w:p>
    <w:p>
      <w:pPr>
        <w:autoSpaceDE w:val="0"/>
        <w:autoSpaceDN w:val="0"/>
        <w:adjustRightInd w:val="0"/>
        <w:spacing w:line="440" w:lineRule="exact"/>
        <w:ind w:firstLine="420" w:firstLineChars="200"/>
        <w:jc w:val="left"/>
        <w:rPr>
          <w:rFonts w:hint="eastAsia" w:ascii="仿宋_GB2312" w:hAnsi="宋体" w:eastAsia="仿宋_GB2312"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经研究</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对</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项目名称</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标段名称</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招标文件</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作如下修改</w:t>
      </w:r>
      <w:r>
        <w:rPr>
          <w:rFonts w:hint="eastAsia" w:ascii="仿宋_GB2312" w:hAnsi="宋体" w:eastAsia="仿宋_GB2312" w:cs="H-SS9-PK74820000032-Identity-H"/>
          <w:i w:val="0"/>
          <w:iCs w:val="0"/>
          <w:kern w:val="0"/>
          <w:szCs w:val="21"/>
          <w:highlight w:val="none"/>
        </w:rPr>
        <w:t>：</w:t>
      </w:r>
    </w:p>
    <w:p>
      <w:pPr>
        <w:spacing w:line="360" w:lineRule="exact"/>
        <w:ind w:firstLine="840" w:firstLineChars="400"/>
        <w:rPr>
          <w:rFonts w:hint="eastAsia" w:ascii="仿宋_GB2312" w:hAnsi="宋体" w:eastAsia="仿宋_GB2312"/>
          <w:i w:val="0"/>
          <w:iCs w:val="0"/>
          <w:szCs w:val="21"/>
          <w:highlight w:val="none"/>
        </w:rPr>
      </w:pPr>
    </w:p>
    <w:p>
      <w:pPr>
        <w:spacing w:line="360" w:lineRule="exact"/>
        <w:ind w:firstLine="840" w:firstLineChars="400"/>
        <w:rPr>
          <w:rFonts w:hint="eastAsia" w:ascii="仿宋_GB2312" w:hAnsi="宋体" w:eastAsia="仿宋_GB2312"/>
          <w:i w:val="0"/>
          <w:iCs w:val="0"/>
          <w:szCs w:val="21"/>
          <w:highlight w:val="none"/>
        </w:rPr>
      </w:pPr>
    </w:p>
    <w:p>
      <w:pPr>
        <w:spacing w:line="360" w:lineRule="exact"/>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1．</w:t>
      </w:r>
    </w:p>
    <w:p>
      <w:pPr>
        <w:spacing w:line="360" w:lineRule="exact"/>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2．</w:t>
      </w:r>
    </w:p>
    <w:p>
      <w:pPr>
        <w:autoSpaceDE w:val="0"/>
        <w:autoSpaceDN w:val="0"/>
        <w:adjustRightInd w:val="0"/>
        <w:spacing w:line="440" w:lineRule="exact"/>
        <w:jc w:val="left"/>
        <w:rPr>
          <w:rFonts w:hint="eastAsia" w:ascii="仿宋_GB2312" w:hAnsi="宋体" w:eastAsia="仿宋_GB2312" w:cs="H-SS9-PK74820000032-Identity-H"/>
          <w:i w:val="0"/>
          <w:iCs w:val="0"/>
          <w:kern w:val="0"/>
          <w:szCs w:val="21"/>
          <w:highlight w:val="none"/>
        </w:rPr>
      </w:pPr>
      <w:r>
        <w:rPr>
          <w:rFonts w:hint="eastAsia" w:ascii="仿宋_GB2312" w:hAnsi="宋体" w:eastAsia="仿宋_GB2312"/>
          <w:i w:val="0"/>
          <w:iCs w:val="0"/>
          <w:szCs w:val="21"/>
          <w:highlight w:val="none"/>
        </w:rPr>
        <w:t>　　　　……</w:t>
      </w:r>
    </w:p>
    <w:p>
      <w:pPr>
        <w:autoSpaceDE w:val="0"/>
        <w:autoSpaceDN w:val="0"/>
        <w:adjustRightInd w:val="0"/>
        <w:spacing w:line="440" w:lineRule="exact"/>
        <w:jc w:val="right"/>
        <w:rPr>
          <w:rFonts w:hint="eastAsia" w:ascii="仿宋_GB2312" w:hAnsi="宋体" w:eastAsia="仿宋_GB2312" w:cs="SSJ-PK7482000002d-Identity-H"/>
          <w:i w:val="0"/>
          <w:iCs w:val="0"/>
          <w:kern w:val="0"/>
          <w:szCs w:val="21"/>
          <w:highlight w:val="none"/>
        </w:rPr>
      </w:pPr>
    </w:p>
    <w:p>
      <w:pPr>
        <w:autoSpaceDE w:val="0"/>
        <w:autoSpaceDN w:val="0"/>
        <w:adjustRightInd w:val="0"/>
        <w:spacing w:line="440" w:lineRule="exact"/>
        <w:jc w:val="right"/>
        <w:rPr>
          <w:rFonts w:hint="eastAsia" w:ascii="仿宋_GB2312" w:hAnsi="宋体" w:eastAsia="仿宋_GB2312"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招标人</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 xml:space="preserve"> （</w:t>
      </w:r>
      <w:r>
        <w:rPr>
          <w:rFonts w:hint="eastAsia" w:ascii="仿宋_GB2312" w:hAnsi="宋体" w:eastAsia="仿宋_GB2312" w:cs="SSJ-PK7482000002d-Identity-H"/>
          <w:i w:val="0"/>
          <w:iCs w:val="0"/>
          <w:kern w:val="0"/>
          <w:szCs w:val="21"/>
          <w:highlight w:val="none"/>
        </w:rPr>
        <w:t>盖单位章</w:t>
      </w:r>
      <w:r>
        <w:rPr>
          <w:rFonts w:hint="eastAsia" w:ascii="仿宋_GB2312" w:hAnsi="宋体" w:eastAsia="仿宋_GB2312" w:cs="H-SS9-PK74820000032-Identity-H"/>
          <w:i w:val="0"/>
          <w:iCs w:val="0"/>
          <w:kern w:val="0"/>
          <w:szCs w:val="21"/>
          <w:highlight w:val="none"/>
        </w:rPr>
        <w:t>）</w:t>
      </w:r>
    </w:p>
    <w:p>
      <w:pPr>
        <w:autoSpaceDE w:val="0"/>
        <w:autoSpaceDN w:val="0"/>
        <w:adjustRightInd w:val="0"/>
        <w:spacing w:line="440" w:lineRule="exact"/>
        <w:jc w:val="right"/>
        <w:rPr>
          <w:rFonts w:hint="eastAsia" w:ascii="仿宋_GB2312" w:hAnsi="宋体" w:eastAsia="仿宋_GB2312" w:cs="SSJ-PK7482000002d-Identity-H"/>
          <w:i w:val="0"/>
          <w:iCs w:val="0"/>
          <w:kern w:val="0"/>
          <w:szCs w:val="21"/>
          <w:highlight w:val="none"/>
        </w:rPr>
      </w:pP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年</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月</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日</w:t>
      </w:r>
    </w:p>
    <w:p>
      <w:pPr>
        <w:autoSpaceDE w:val="0"/>
        <w:autoSpaceDN w:val="0"/>
        <w:adjustRightInd w:val="0"/>
        <w:spacing w:line="440" w:lineRule="exact"/>
        <w:jc w:val="right"/>
        <w:rPr>
          <w:rFonts w:hint="eastAsia" w:ascii="仿宋_GB2312" w:hAnsi="宋体" w:eastAsia="仿宋_GB2312" w:cs="SSJ-PK7482000002d-Identity-H"/>
          <w:i w:val="0"/>
          <w:iCs w:val="0"/>
          <w:kern w:val="0"/>
          <w:szCs w:val="21"/>
          <w:highlight w:val="none"/>
        </w:rPr>
      </w:pPr>
    </w:p>
    <w:p>
      <w:pPr>
        <w:rPr>
          <w:rFonts w:hint="eastAsia" w:ascii="仿宋_GB2312" w:hAnsi="宋体" w:eastAsia="仿宋_GB2312" w:cs="SSJ-PK7482000002d-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注</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招标人对招标文件修改时</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适用于本格式</w:t>
      </w:r>
      <w:r>
        <w:rPr>
          <w:rFonts w:hint="eastAsia" w:ascii="仿宋_GB2312" w:hAnsi="宋体" w:eastAsia="仿宋_GB2312" w:cs="H-SS9-PK74820000032-Identity-H"/>
          <w:i w:val="0"/>
          <w:iCs w:val="0"/>
          <w:kern w:val="0"/>
          <w:szCs w:val="21"/>
          <w:highlight w:val="none"/>
        </w:rPr>
        <w:t>。</w:t>
      </w: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spacing w:line="400" w:lineRule="exact"/>
        <w:rPr>
          <w:rFonts w:hint="eastAsia" w:ascii="仿宋_GB2312" w:hAnsi="宋体" w:eastAsia="仿宋_GB2312" w:cs="H-SS9-PK74820000032-Identity-H"/>
          <w:i w:val="0"/>
          <w:iCs w:val="0"/>
          <w:kern w:val="0"/>
          <w:szCs w:val="21"/>
          <w:highlight w:val="none"/>
        </w:rPr>
      </w:pPr>
    </w:p>
    <w:p>
      <w:pPr>
        <w:pStyle w:val="3"/>
        <w:spacing w:before="120" w:after="120" w:line="600" w:lineRule="exact"/>
        <w:jc w:val="both"/>
        <w:rPr>
          <w:rFonts w:hint="eastAsia" w:ascii="仿宋_GB2312" w:hAnsi="宋体" w:eastAsia="仿宋_GB2312"/>
          <w:b w:val="0"/>
          <w:bCs w:val="0"/>
          <w:i w:val="0"/>
          <w:iCs w:val="0"/>
          <w:sz w:val="28"/>
          <w:szCs w:val="28"/>
          <w:highlight w:val="none"/>
        </w:rPr>
      </w:pPr>
      <w:bookmarkStart w:id="428" w:name="_Toc10071"/>
      <w:r>
        <w:rPr>
          <w:rFonts w:hint="eastAsia" w:ascii="仿宋_GB2312" w:hAnsi="宋体" w:eastAsia="仿宋_GB2312"/>
          <w:b w:val="0"/>
          <w:bCs w:val="0"/>
          <w:i w:val="0"/>
          <w:iCs w:val="0"/>
          <w:sz w:val="28"/>
          <w:szCs w:val="28"/>
          <w:highlight w:val="none"/>
        </w:rPr>
        <w:t>附件</w:t>
      </w:r>
      <w:r>
        <w:rPr>
          <w:rFonts w:hint="eastAsia" w:ascii="仿宋_GB2312" w:hAnsi="宋体" w:eastAsia="仿宋_GB2312"/>
          <w:b w:val="0"/>
          <w:bCs w:val="0"/>
          <w:i w:val="0"/>
          <w:iCs w:val="0"/>
          <w:sz w:val="28"/>
          <w:szCs w:val="28"/>
          <w:highlight w:val="none"/>
          <w:lang w:val="en-US" w:eastAsia="zh-CN"/>
        </w:rPr>
        <w:t>四</w:t>
      </w:r>
      <w:r>
        <w:rPr>
          <w:rFonts w:hint="eastAsia" w:ascii="仿宋_GB2312" w:hAnsi="宋体" w:eastAsia="仿宋_GB2312"/>
          <w:b w:val="0"/>
          <w:bCs w:val="0"/>
          <w:i w:val="0"/>
          <w:iCs w:val="0"/>
          <w:sz w:val="28"/>
          <w:szCs w:val="28"/>
          <w:highlight w:val="none"/>
        </w:rPr>
        <w:t>：开标记录表</w:t>
      </w:r>
      <w:bookmarkEnd w:id="407"/>
      <w:bookmarkEnd w:id="408"/>
      <w:bookmarkEnd w:id="409"/>
      <w:bookmarkEnd w:id="410"/>
      <w:bookmarkEnd w:id="411"/>
      <w:bookmarkEnd w:id="428"/>
    </w:p>
    <w:p>
      <w:pPr>
        <w:spacing w:line="400" w:lineRule="exact"/>
        <w:rPr>
          <w:i w:val="0"/>
          <w:iCs w:val="0"/>
          <w:highlight w:val="none"/>
        </w:rPr>
      </w:pPr>
      <w:r>
        <w:rPr>
          <w:i w:val="0"/>
          <w:iCs w:val="0"/>
          <w:highlight w:val="none"/>
        </w:rPr>
        <w:t xml:space="preserve">     </w:t>
      </w:r>
    </w:p>
    <w:p>
      <w:pPr>
        <w:spacing w:line="400" w:lineRule="exact"/>
        <w:jc w:val="center"/>
        <w:rPr>
          <w:rFonts w:ascii="黑体" w:eastAsia="黑体"/>
          <w:i w:val="0"/>
          <w:iCs w:val="0"/>
          <w:sz w:val="28"/>
          <w:szCs w:val="28"/>
          <w:highlight w:val="none"/>
        </w:rPr>
      </w:pPr>
      <w:r>
        <w:rPr>
          <w:rFonts w:hint="eastAsia" w:ascii="黑体" w:eastAsia="黑体"/>
          <w:i w:val="0"/>
          <w:iCs w:val="0"/>
          <w:sz w:val="28"/>
          <w:szCs w:val="28"/>
          <w:highlight w:val="none"/>
        </w:rPr>
        <w:t>开标记录表</w:t>
      </w:r>
    </w:p>
    <w:p>
      <w:pPr>
        <w:spacing w:line="400" w:lineRule="exact"/>
        <w:rPr>
          <w:i w:val="0"/>
          <w:iCs w:val="0"/>
          <w:highlight w:val="none"/>
        </w:rPr>
      </w:pPr>
    </w:p>
    <w:p>
      <w:pPr>
        <w:autoSpaceDE w:val="0"/>
        <w:autoSpaceDN w:val="0"/>
        <w:adjustRightInd w:val="0"/>
        <w:spacing w:line="240" w:lineRule="auto"/>
        <w:ind w:right="560" w:firstLine="4620" w:firstLineChars="1650"/>
        <w:rPr>
          <w:rFonts w:hint="eastAsia"/>
          <w:i w:val="0"/>
          <w:iCs w:val="0"/>
          <w:highlight w:val="none"/>
        </w:rPr>
      </w:pPr>
      <w:r>
        <w:rPr>
          <w:rFonts w:hint="eastAsia" w:ascii="仿宋_GB2312" w:hAnsi="_x000B__x000C_" w:eastAsia="仿宋_GB2312"/>
          <w:i w:val="0"/>
          <w:iCs w:val="0"/>
          <w:sz w:val="28"/>
          <w:szCs w:val="28"/>
          <w:highlight w:val="none"/>
          <w:u w:val="single"/>
        </w:rPr>
        <w:t xml:space="preserve">      </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kern w:val="0"/>
          <w:szCs w:val="21"/>
          <w:highlight w:val="none"/>
        </w:rPr>
        <w:t>项目名称</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sz w:val="28"/>
          <w:szCs w:val="28"/>
          <w:highlight w:val="none"/>
          <w:u w:val="single"/>
        </w:rPr>
        <w:t xml:space="preserve">      </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kern w:val="0"/>
          <w:szCs w:val="21"/>
          <w:highlight w:val="none"/>
        </w:rPr>
        <w:t>标段名称</w:t>
      </w:r>
      <w:r>
        <w:rPr>
          <w:rFonts w:hint="eastAsia" w:ascii="仿宋_GB2312" w:hAnsi="_x000B__x000C_" w:eastAsia="仿宋_GB2312" w:cs="Arial"/>
          <w:i w:val="0"/>
          <w:iCs w:val="0"/>
          <w:kern w:val="0"/>
          <w:szCs w:val="21"/>
          <w:highlight w:val="none"/>
        </w:rPr>
        <w:t>）</w:t>
      </w:r>
    </w:p>
    <w:p>
      <w:pPr>
        <w:spacing w:line="400" w:lineRule="exact"/>
        <w:ind w:right="420" w:firstLine="4515" w:firstLineChars="2150"/>
        <w:rPr>
          <w:i w:val="0"/>
          <w:iCs w:val="0"/>
          <w:highlight w:val="none"/>
        </w:rPr>
      </w:pPr>
    </w:p>
    <w:tbl>
      <w:tblPr>
        <w:tblStyle w:val="41"/>
        <w:tblW w:w="0" w:type="auto"/>
        <w:tblInd w:w="0" w:type="dxa"/>
        <w:tblLayout w:type="fixed"/>
        <w:tblCellMar>
          <w:top w:w="0" w:type="dxa"/>
          <w:left w:w="108" w:type="dxa"/>
          <w:bottom w:w="0" w:type="dxa"/>
          <w:right w:w="108" w:type="dxa"/>
        </w:tblCellMar>
      </w:tblPr>
      <w:tblGrid>
        <w:gridCol w:w="649"/>
        <w:gridCol w:w="2887"/>
        <w:gridCol w:w="1259"/>
        <w:gridCol w:w="1087"/>
        <w:gridCol w:w="1078"/>
        <w:gridCol w:w="719"/>
        <w:gridCol w:w="719"/>
      </w:tblGrid>
      <w:tr>
        <w:tblPrEx>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序号</w:t>
            </w: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w:t>
            </w:r>
          </w:p>
          <w:p>
            <w:pPr>
              <w:spacing w:line="50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（元）</w:t>
            </w: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质量标准</w:t>
            </w: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工期</w:t>
            </w: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备注</w:t>
            </w:r>
          </w:p>
        </w:tc>
      </w:tr>
      <w:tr>
        <w:tblPrEx>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r>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r>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28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87"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仿宋_GB2312" w:hAnsi="仿宋_GB2312" w:eastAsia="仿宋_GB2312" w:cs="仿宋_GB2312"/>
                <w:i w:val="0"/>
                <w:iCs w:val="0"/>
                <w:sz w:val="18"/>
                <w:szCs w:val="18"/>
                <w:highlight w:val="none"/>
              </w:rPr>
            </w:pPr>
          </w:p>
        </w:tc>
      </w:tr>
    </w:tbl>
    <w:p>
      <w:pPr>
        <w:spacing w:line="440" w:lineRule="exact"/>
        <w:rPr>
          <w:i w:val="0"/>
          <w:iCs w:val="0"/>
          <w:szCs w:val="21"/>
          <w:highlight w:val="none"/>
        </w:rPr>
      </w:pPr>
      <w:r>
        <w:rPr>
          <w:rFonts w:hint="eastAsia"/>
          <w:i w:val="0"/>
          <w:iCs w:val="0"/>
          <w:highlight w:val="none"/>
        </w:rPr>
        <w:t>　　</w:t>
      </w:r>
      <w:r>
        <w:rPr>
          <w:rFonts w:hint="eastAsia"/>
          <w:i w:val="0"/>
          <w:iCs w:val="0"/>
          <w:szCs w:val="21"/>
          <w:highlight w:val="none"/>
        </w:rPr>
        <w:t>　</w:t>
      </w:r>
      <w:r>
        <w:rPr>
          <w:rFonts w:hint="eastAsia" w:eastAsia="仿宋_GB2312"/>
          <w:i w:val="0"/>
          <w:iCs w:val="0"/>
          <w:szCs w:val="21"/>
          <w:highlight w:val="none"/>
          <w:lang w:val="en-US" w:eastAsia="zh-CN"/>
        </w:rPr>
        <w:t xml:space="preserve">    </w:t>
      </w:r>
      <w:r>
        <w:rPr>
          <w:rFonts w:hint="eastAsia" w:ascii="仿宋_GB2312" w:hAnsi="_x000B__x000C_" w:eastAsia="仿宋_GB2312"/>
          <w:i w:val="0"/>
          <w:iCs w:val="0"/>
          <w:kern w:val="0"/>
          <w:szCs w:val="21"/>
          <w:highlight w:val="none"/>
        </w:rPr>
        <w:t xml:space="preserve"> </w:t>
      </w:r>
      <w:r>
        <w:rPr>
          <w:rFonts w:hint="eastAsia" w:ascii="仿宋_GB2312" w:hAnsi="_x000B__x000C_" w:eastAsia="仿宋_GB2312"/>
          <w:i w:val="0"/>
          <w:iCs w:val="0"/>
          <w:kern w:val="0"/>
          <w:szCs w:val="21"/>
          <w:highlight w:val="none"/>
          <w:lang w:val="en-US" w:eastAsia="zh-CN"/>
        </w:rPr>
        <w:t xml:space="preserve">                                                 </w:t>
      </w:r>
      <w:r>
        <w:rPr>
          <w:rFonts w:hint="eastAsia" w:ascii="仿宋_GB2312" w:hAnsi="_x000B__x000C_" w:eastAsia="仿宋_GB2312"/>
          <w:i w:val="0"/>
          <w:iCs w:val="0"/>
          <w:kern w:val="0"/>
          <w:szCs w:val="21"/>
          <w:highlight w:val="none"/>
        </w:rPr>
        <w:t>开标时间：</w:t>
      </w:r>
    </w:p>
    <w:p>
      <w:pPr>
        <w:spacing w:line="440" w:lineRule="exact"/>
        <w:rPr>
          <w:i w:val="0"/>
          <w:iCs w:val="0"/>
          <w:szCs w:val="21"/>
          <w:highlight w:val="none"/>
        </w:rPr>
      </w:pPr>
    </w:p>
    <w:p>
      <w:pPr>
        <w:pStyle w:val="4"/>
        <w:rPr>
          <w:rFonts w:hint="eastAsia" w:ascii="仿宋_GB2312" w:hAnsi="宋体" w:eastAsia="仿宋_GB2312"/>
          <w:b w:val="0"/>
          <w:bCs w:val="0"/>
          <w:i w:val="0"/>
          <w:iCs w:val="0"/>
          <w:kern w:val="2"/>
          <w:sz w:val="28"/>
          <w:szCs w:val="28"/>
          <w:highlight w:val="none"/>
          <w:lang w:val="en-US" w:eastAsia="zh-CN" w:bidi="ar-SA"/>
        </w:rPr>
      </w:pPr>
      <w:bookmarkStart w:id="429" w:name="_Toc247527607"/>
      <w:bookmarkStart w:id="430" w:name="_Toc152045582"/>
      <w:bookmarkStart w:id="431" w:name="_Toc247514006"/>
      <w:bookmarkStart w:id="432" w:name="_Toc152042359"/>
      <w:bookmarkStart w:id="433" w:name="_Toc144974549"/>
      <w:r>
        <w:rPr>
          <w:i w:val="0"/>
          <w:iCs w:val="0"/>
          <w:highlight w:val="none"/>
        </w:rPr>
        <w:br w:type="page"/>
      </w:r>
      <w:bookmarkEnd w:id="429"/>
      <w:bookmarkEnd w:id="430"/>
      <w:bookmarkEnd w:id="431"/>
      <w:bookmarkEnd w:id="432"/>
      <w:bookmarkEnd w:id="433"/>
      <w:bookmarkStart w:id="434" w:name="_Toc144974551"/>
      <w:bookmarkStart w:id="435" w:name="_Toc152045584"/>
      <w:bookmarkStart w:id="436" w:name="_Toc247527609"/>
      <w:bookmarkStart w:id="437" w:name="_Toc152042361"/>
      <w:bookmarkStart w:id="438" w:name="_Toc247514008"/>
      <w:r>
        <w:rPr>
          <w:rFonts w:hint="eastAsia" w:ascii="仿宋_GB2312" w:hAnsi="宋体" w:eastAsia="仿宋_GB2312"/>
          <w:b w:val="0"/>
          <w:bCs w:val="0"/>
          <w:i w:val="0"/>
          <w:iCs w:val="0"/>
          <w:kern w:val="2"/>
          <w:sz w:val="28"/>
          <w:szCs w:val="28"/>
          <w:highlight w:val="none"/>
          <w:lang w:val="en-US" w:eastAsia="zh-CN" w:bidi="ar-SA"/>
        </w:rPr>
        <w:t>附件五：中标通知书</w:t>
      </w:r>
      <w:bookmarkEnd w:id="434"/>
      <w:bookmarkEnd w:id="435"/>
      <w:bookmarkEnd w:id="436"/>
      <w:bookmarkEnd w:id="437"/>
      <w:bookmarkEnd w:id="438"/>
    </w:p>
    <w:p>
      <w:pPr>
        <w:spacing w:line="400" w:lineRule="exact"/>
        <w:rPr>
          <w:i w:val="0"/>
          <w:iCs w:val="0"/>
          <w:highlight w:val="none"/>
        </w:rPr>
      </w:pPr>
    </w:p>
    <w:p>
      <w:pPr>
        <w:spacing w:line="400" w:lineRule="exact"/>
        <w:jc w:val="center"/>
        <w:rPr>
          <w:rFonts w:ascii="黑体" w:eastAsia="黑体"/>
          <w:i w:val="0"/>
          <w:iCs w:val="0"/>
          <w:sz w:val="32"/>
          <w:szCs w:val="32"/>
          <w:highlight w:val="none"/>
        </w:rPr>
      </w:pPr>
      <w:r>
        <w:rPr>
          <w:rFonts w:hint="eastAsia" w:ascii="黑体" w:eastAsia="黑体"/>
          <w:i w:val="0"/>
          <w:iCs w:val="0"/>
          <w:sz w:val="32"/>
          <w:szCs w:val="32"/>
          <w:highlight w:val="none"/>
        </w:rPr>
        <w:t>中标通知书</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                              </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（中标人名称）：</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你方于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（投标日期）所递交的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标段名称</w:t>
      </w:r>
      <w:r>
        <w:rPr>
          <w:rFonts w:hint="eastAsia" w:ascii="仿宋_GB2312" w:hAnsi="宋体" w:eastAsia="仿宋_GB2312" w:cs="H-SS9-PK74820000032-Identity-H"/>
          <w:i w:val="0"/>
          <w:iCs w:val="0"/>
          <w:kern w:val="0"/>
          <w:szCs w:val="21"/>
          <w:highlight w:val="none"/>
        </w:rPr>
        <w:t>）</w:t>
      </w:r>
      <w:r>
        <w:rPr>
          <w:rFonts w:hint="eastAsia" w:ascii="仿宋_GB2312" w:hAnsi="仿宋_GB2312" w:eastAsia="仿宋_GB2312" w:cs="仿宋_GB2312"/>
          <w:i w:val="0"/>
          <w:iCs w:val="0"/>
          <w:szCs w:val="21"/>
          <w:highlight w:val="none"/>
        </w:rPr>
        <w:t>的投标文件已被我方接受，被确定为中标人。</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中标价：</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元。</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工期：</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日历天。</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质量标准：</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40" w:lineRule="exact"/>
        <w:ind w:firstLine="42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项目经理：</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（姓名）。</w:t>
      </w:r>
    </w:p>
    <w:p>
      <w:pPr>
        <w:spacing w:line="440" w:lineRule="exact"/>
        <w:ind w:firstLine="42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技术负责人：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（姓名）。</w:t>
      </w:r>
    </w:p>
    <w:p>
      <w:pPr>
        <w:spacing w:line="440" w:lineRule="exact"/>
        <w:ind w:firstLine="42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请你方在接到本通知书后的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日内到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（指定地点）与我方签订项目管理总承包（PMC）合同，在此之前按招标文件第二章“投标人须知”第7.4款规定向我方提交履约保证金。</w:t>
      </w:r>
    </w:p>
    <w:p>
      <w:pPr>
        <w:spacing w:line="440" w:lineRule="exact"/>
        <w:ind w:firstLine="42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随附的澄清、说明、补正事项纪要，是本中标通知书的组成部分。</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特此通知。</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附：澄清、说明、补正事项纪要</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p>
    <w:p>
      <w:pPr>
        <w:spacing w:line="540" w:lineRule="exact"/>
        <w:ind w:firstLine="3238" w:firstLineChars="1542"/>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招标人：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（盖单位章）            </w:t>
      </w:r>
    </w:p>
    <w:p>
      <w:pPr>
        <w:spacing w:line="540" w:lineRule="exact"/>
        <w:ind w:firstLine="3238" w:firstLineChars="1542"/>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spacing w:line="540" w:lineRule="exact"/>
        <w:ind w:firstLine="3864" w:firstLineChars="184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spacing w:line="400" w:lineRule="exact"/>
        <w:rPr>
          <w:i w:val="0"/>
          <w:iCs w:val="0"/>
          <w:highlight w:val="none"/>
        </w:rPr>
      </w:pPr>
    </w:p>
    <w:p>
      <w:pPr>
        <w:spacing w:line="400" w:lineRule="exact"/>
        <w:rPr>
          <w:i w:val="0"/>
          <w:iCs w:val="0"/>
          <w:highlight w:val="none"/>
        </w:rPr>
      </w:pPr>
    </w:p>
    <w:p>
      <w:pPr>
        <w:pStyle w:val="4"/>
        <w:ind w:firstLine="137"/>
        <w:rPr>
          <w:rFonts w:hint="eastAsia" w:ascii="仿宋_GB2312" w:hAnsi="宋体" w:eastAsia="仿宋_GB2312"/>
          <w:b w:val="0"/>
          <w:bCs w:val="0"/>
          <w:i w:val="0"/>
          <w:iCs w:val="0"/>
          <w:kern w:val="2"/>
          <w:sz w:val="28"/>
          <w:szCs w:val="28"/>
          <w:highlight w:val="none"/>
          <w:lang w:val="en-US" w:eastAsia="zh-CN" w:bidi="ar-SA"/>
        </w:rPr>
      </w:pPr>
      <w:bookmarkStart w:id="439" w:name="_Toc152045585"/>
      <w:bookmarkStart w:id="440" w:name="_Toc144974552"/>
      <w:bookmarkStart w:id="441" w:name="_Toc152042362"/>
      <w:bookmarkStart w:id="442" w:name="_Toc247514009"/>
      <w:bookmarkStart w:id="443" w:name="_Toc247527610"/>
      <w:r>
        <w:rPr>
          <w:i w:val="0"/>
          <w:iCs w:val="0"/>
          <w:highlight w:val="none"/>
        </w:rPr>
        <w:br w:type="page"/>
      </w:r>
      <w:r>
        <w:rPr>
          <w:rFonts w:hint="eastAsia" w:ascii="仿宋_GB2312" w:hAnsi="宋体" w:eastAsia="仿宋_GB2312"/>
          <w:b w:val="0"/>
          <w:bCs w:val="0"/>
          <w:i w:val="0"/>
          <w:iCs w:val="0"/>
          <w:kern w:val="2"/>
          <w:sz w:val="28"/>
          <w:szCs w:val="28"/>
          <w:highlight w:val="none"/>
          <w:lang w:val="en-US" w:eastAsia="zh-CN" w:bidi="ar-SA"/>
        </w:rPr>
        <w:t>附件六：中标结果通知书</w:t>
      </w:r>
      <w:bookmarkEnd w:id="439"/>
      <w:bookmarkEnd w:id="440"/>
      <w:bookmarkEnd w:id="441"/>
      <w:bookmarkEnd w:id="442"/>
      <w:bookmarkEnd w:id="443"/>
    </w:p>
    <w:p>
      <w:pPr>
        <w:spacing w:line="400" w:lineRule="exact"/>
        <w:rPr>
          <w:i w:val="0"/>
          <w:iCs w:val="0"/>
          <w:highlight w:val="none"/>
        </w:rPr>
      </w:pPr>
    </w:p>
    <w:p>
      <w:pPr>
        <w:spacing w:line="400" w:lineRule="exact"/>
        <w:jc w:val="center"/>
        <w:rPr>
          <w:rFonts w:ascii="黑体" w:eastAsia="黑体"/>
          <w:i w:val="0"/>
          <w:iCs w:val="0"/>
          <w:sz w:val="32"/>
          <w:szCs w:val="32"/>
          <w:highlight w:val="none"/>
        </w:rPr>
      </w:pPr>
      <w:r>
        <w:rPr>
          <w:rFonts w:hint="eastAsia" w:ascii="黑体" w:eastAsia="黑体"/>
          <w:i w:val="0"/>
          <w:iCs w:val="0"/>
          <w:sz w:val="32"/>
          <w:szCs w:val="32"/>
          <w:highlight w:val="none"/>
        </w:rPr>
        <w:t>中标结果通知书</w:t>
      </w:r>
    </w:p>
    <w:p>
      <w:pPr>
        <w:spacing w:line="400" w:lineRule="exact"/>
        <w:rPr>
          <w:i w:val="0"/>
          <w:iCs w:val="0"/>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（未中标人名称）：</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spacing w:line="440" w:lineRule="exact"/>
        <w:ind w:firstLine="42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我方已接受</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（中标人名称）于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（投标日期）所递交的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（项目名称）项目管理总承包（PMC）招标的投标文件，确定</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（中标人名称）为中标人。</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感谢你单位对我们工作的大力支持！</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招标人：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法定代表人：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spacing w:line="400" w:lineRule="exact"/>
        <w:rPr>
          <w:rFonts w:hint="eastAsia" w:ascii="仿宋_GB2312" w:hAnsi="仿宋_GB2312" w:eastAsia="仿宋_GB2312" w:cs="仿宋_GB2312"/>
          <w:i w:val="0"/>
          <w:iCs w:val="0"/>
          <w:highlight w:val="none"/>
        </w:rPr>
      </w:pPr>
    </w:p>
    <w:p>
      <w:pPr>
        <w:spacing w:line="400" w:lineRule="exact"/>
        <w:rPr>
          <w:i w:val="0"/>
          <w:iCs w:val="0"/>
          <w:highlight w:val="none"/>
        </w:rPr>
      </w:pPr>
    </w:p>
    <w:p>
      <w:pPr>
        <w:pStyle w:val="2"/>
        <w:jc w:val="center"/>
        <w:rPr>
          <w:b w:val="0"/>
          <w:bCs w:val="0"/>
          <w:i w:val="0"/>
          <w:iCs w:val="0"/>
          <w:highlight w:val="none"/>
        </w:rPr>
      </w:pPr>
      <w:bookmarkStart w:id="444" w:name="_Toc247514010"/>
      <w:bookmarkStart w:id="445" w:name="_Toc247527611"/>
      <w:bookmarkStart w:id="446" w:name="_Toc152045586"/>
      <w:bookmarkStart w:id="447" w:name="_Toc152042363"/>
      <w:bookmarkStart w:id="448" w:name="_Toc144974553"/>
      <w:r>
        <w:rPr>
          <w:i w:val="0"/>
          <w:iCs w:val="0"/>
          <w:highlight w:val="none"/>
        </w:rPr>
        <w:br w:type="page"/>
      </w:r>
      <w:bookmarkEnd w:id="444"/>
      <w:bookmarkEnd w:id="445"/>
      <w:bookmarkEnd w:id="446"/>
      <w:bookmarkEnd w:id="447"/>
      <w:bookmarkEnd w:id="448"/>
      <w:bookmarkStart w:id="449" w:name="_Toc144974565"/>
      <w:bookmarkStart w:id="450" w:name="_Toc247527623"/>
      <w:bookmarkStart w:id="451" w:name="_Toc152045598"/>
      <w:bookmarkStart w:id="452" w:name="_Toc247514022"/>
      <w:bookmarkStart w:id="453" w:name="_Toc152042375"/>
      <w:bookmarkStart w:id="454" w:name="_Toc15230"/>
      <w:r>
        <w:rPr>
          <w:rFonts w:hint="eastAsia" w:ascii="黑体" w:hAnsi="黑体" w:eastAsia="黑体" w:cs="黑体"/>
          <w:b w:val="0"/>
          <w:bCs w:val="0"/>
          <w:i w:val="0"/>
          <w:iCs w:val="0"/>
          <w:highlight w:val="none"/>
        </w:rPr>
        <w:t xml:space="preserve">第三章 </w:t>
      </w:r>
      <w:r>
        <w:rPr>
          <w:rFonts w:hint="eastAsia" w:ascii="黑体" w:hAnsi="黑体" w:eastAsia="黑体" w:cs="黑体"/>
          <w:b w:val="0"/>
          <w:bCs w:val="0"/>
          <w:i w:val="0"/>
          <w:iCs w:val="0"/>
          <w:highlight w:val="none"/>
          <w:lang w:val="en-US" w:eastAsia="zh-CN"/>
        </w:rPr>
        <w:t xml:space="preserve"> </w:t>
      </w:r>
      <w:r>
        <w:rPr>
          <w:rFonts w:hint="eastAsia" w:ascii="黑体" w:hAnsi="黑体" w:eastAsia="黑体" w:cs="黑体"/>
          <w:b w:val="0"/>
          <w:bCs w:val="0"/>
          <w:i w:val="0"/>
          <w:iCs w:val="0"/>
          <w:highlight w:val="none"/>
        </w:rPr>
        <w:t>评标办法（综合评估法）</w:t>
      </w:r>
      <w:bookmarkEnd w:id="449"/>
      <w:bookmarkEnd w:id="450"/>
      <w:bookmarkEnd w:id="451"/>
      <w:bookmarkEnd w:id="452"/>
      <w:bookmarkEnd w:id="453"/>
      <w:bookmarkEnd w:id="454"/>
    </w:p>
    <w:p>
      <w:pPr>
        <w:pStyle w:val="3"/>
        <w:jc w:val="center"/>
        <w:rPr>
          <w:rFonts w:hint="eastAsia"/>
          <w:b w:val="0"/>
          <w:bCs w:val="0"/>
          <w:i w:val="0"/>
          <w:iCs w:val="0"/>
          <w:highlight w:val="none"/>
        </w:rPr>
      </w:pPr>
      <w:bookmarkStart w:id="455" w:name="_Toc152045599"/>
      <w:bookmarkStart w:id="456" w:name="_Toc152042376"/>
      <w:bookmarkStart w:id="457" w:name="_Toc247527624"/>
      <w:bookmarkStart w:id="458" w:name="_Toc19854"/>
      <w:bookmarkStart w:id="459" w:name="_Toc247514023"/>
      <w:bookmarkStart w:id="460" w:name="_Toc144974566"/>
      <w:r>
        <w:rPr>
          <w:rFonts w:hint="eastAsia"/>
          <w:b w:val="0"/>
          <w:bCs w:val="0"/>
          <w:i w:val="0"/>
          <w:iCs w:val="0"/>
          <w:highlight w:val="none"/>
        </w:rPr>
        <w:t>评标办法前附表</w:t>
      </w:r>
      <w:bookmarkEnd w:id="455"/>
      <w:bookmarkEnd w:id="456"/>
      <w:bookmarkEnd w:id="457"/>
      <w:bookmarkEnd w:id="458"/>
      <w:bookmarkEnd w:id="459"/>
      <w:bookmarkEnd w:id="460"/>
    </w:p>
    <w:p>
      <w:pPr>
        <w:rPr>
          <w:rFonts w:hint="eastAsia"/>
          <w:i w:val="0"/>
          <w:iCs w:val="0"/>
          <w:highlight w:val="none"/>
        </w:rPr>
      </w:pPr>
    </w:p>
    <w:tbl>
      <w:tblPr>
        <w:tblStyle w:val="41"/>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73"/>
        <w:gridCol w:w="2476"/>
        <w:gridCol w:w="4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gridSpan w:val="2"/>
            <w:tcBorders>
              <w:tl2br w:val="nil"/>
              <w:tr2bl w:val="nil"/>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条款号</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评审因素</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1173"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评标办法</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中标候选人排序方法</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gridSpan w:val="4"/>
            <w:tcBorders>
              <w:tl2br w:val="nil"/>
              <w:tr2bl w:val="nil"/>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商务标初步评审标准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1"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2.1.1</w:t>
            </w:r>
          </w:p>
        </w:tc>
        <w:tc>
          <w:tcPr>
            <w:tcW w:w="1173"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形式评审</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标准</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投标人名称</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与营业执照、资质证书一致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投标函签字盖章</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符合第二章“投标人须知”第3.7.3项规定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投标文件格式</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符合第七章“投标文件格式”的要求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联合体投标人</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提交联合体协议书，并明确联合体牵头人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报价唯一</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未出现异常情形</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未出现不同投标人文件制作机器码或文件创建标识码相同的情形</w:t>
            </w:r>
            <w:r>
              <w:rPr>
                <w:rFonts w:hint="eastAsia" w:ascii="仿宋_GB2312" w:hAnsi="仿宋" w:eastAsia="仿宋_GB2312" w:cs="仿宋"/>
                <w:bCs/>
                <w:i w:val="0"/>
                <w:iCs w:val="0"/>
                <w:sz w:val="18"/>
                <w:szCs w:val="18"/>
                <w:highlight w:val="none"/>
                <w:lang w:eastAsia="zh-CN"/>
              </w:rPr>
              <w:t>；</w:t>
            </w:r>
            <w:r>
              <w:rPr>
                <w:rFonts w:hint="eastAsia" w:ascii="仿宋_GB2312" w:hAnsi="仿宋_GB2312" w:eastAsia="仿宋_GB2312" w:cs="仿宋_GB2312"/>
                <w:i w:val="0"/>
                <w:iCs w:val="0"/>
                <w:sz w:val="18"/>
                <w:szCs w:val="18"/>
                <w:highlight w:val="none"/>
                <w:lang w:eastAsia="zh-CN"/>
              </w:rPr>
              <w:t>未出现</w:t>
            </w:r>
            <w:r>
              <w:rPr>
                <w:rFonts w:hint="eastAsia" w:ascii="仿宋_GB2312" w:hAnsi="仿宋_GB2312" w:eastAsia="仿宋_GB2312" w:cs="仿宋_GB2312"/>
                <w:i w:val="0"/>
                <w:caps w:val="0"/>
                <w:spacing w:val="0"/>
                <w:kern w:val="2"/>
                <w:sz w:val="18"/>
                <w:szCs w:val="18"/>
                <w:highlight w:val="none"/>
                <w:lang w:val="en-US" w:eastAsia="zh-CN" w:bidi="ar"/>
              </w:rPr>
              <w:t>不同投标人投标文件制作及上传的计算机网卡MAC 地址，CPUid、硬盘序列号、主板特征码、操作系统特征码等硬件信息中三条以上相同的情形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2.1.2</w:t>
            </w:r>
          </w:p>
        </w:tc>
        <w:tc>
          <w:tcPr>
            <w:tcW w:w="1173"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资格评审</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标准</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营业执照</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具备有效的营业执照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资质等级</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财务状况</w:t>
            </w:r>
          </w:p>
        </w:tc>
        <w:tc>
          <w:tcPr>
            <w:tcW w:w="4680" w:type="dxa"/>
            <w:tcBorders>
              <w:tl2br w:val="nil"/>
              <w:tr2bl w:val="nil"/>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类似项目业绩</w:t>
            </w:r>
          </w:p>
        </w:tc>
        <w:tc>
          <w:tcPr>
            <w:tcW w:w="4680" w:type="dxa"/>
            <w:tcBorders>
              <w:tl2br w:val="nil"/>
              <w:tr2bl w:val="nil"/>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信誉</w:t>
            </w:r>
          </w:p>
        </w:tc>
        <w:tc>
          <w:tcPr>
            <w:tcW w:w="4680" w:type="dxa"/>
            <w:tcBorders>
              <w:tl2br w:val="nil"/>
              <w:tr2bl w:val="nil"/>
            </w:tcBorders>
            <w:noWrap w:val="0"/>
            <w:vAlign w:val="top"/>
          </w:tcPr>
          <w:p>
            <w:p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 xml:space="preserve">项目经理 </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设计负责人</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施工负责人</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施工机械设备</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项目管理机构及人员</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其他要求</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联合体投标人</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不存在禁止投标的情形</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不存在第二章“投标人须知”第1.4.3项规定的任何一种情形。</w:t>
            </w:r>
            <w:r>
              <w:rPr>
                <w:rFonts w:hint="eastAsia" w:ascii="仿宋_GB2312" w:hAnsi="仿宋_GB2312" w:eastAsia="仿宋_GB2312" w:cs="仿宋_GB2312"/>
                <w:b/>
                <w:bCs/>
                <w:i w:val="0"/>
                <w:iCs w:val="0"/>
                <w:sz w:val="18"/>
                <w:szCs w:val="18"/>
                <w:highlight w:val="none"/>
              </w:rPr>
              <w:t>投标人在投标函中承诺，不需要提供相关证明。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2.1.3</w:t>
            </w:r>
          </w:p>
        </w:tc>
        <w:tc>
          <w:tcPr>
            <w:tcW w:w="1173"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响应性评审标准</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符合第二章“投标人须知”第3.2.4项规定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投标内容</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工期</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质量标准</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符合第二章“投标人须知”第1.3.3项规定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投标有效期</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符合第二章“投标人须知”第3.3.1项规定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投标保证金</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符合第二章“投标人须知”第3.4款规定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权利义务</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符合第四章“合同条款及格式”规定的权利义务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gridSpan w:val="4"/>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
                <w:bCs/>
                <w:i w:val="0"/>
                <w:iCs w:val="0"/>
                <w:kern w:val="0"/>
                <w:sz w:val="18"/>
                <w:szCs w:val="18"/>
                <w:highlight w:val="none"/>
              </w:rPr>
              <w:t>技术标初步评审标准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restart"/>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kern w:val="0"/>
                <w:sz w:val="18"/>
                <w:szCs w:val="18"/>
                <w:highlight w:val="none"/>
              </w:rPr>
              <w:t>2.1.1</w:t>
            </w:r>
          </w:p>
        </w:tc>
        <w:tc>
          <w:tcPr>
            <w:tcW w:w="1173"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bCs/>
                <w:i w:val="0"/>
                <w:iCs w:val="0"/>
                <w:kern w:val="0"/>
                <w:sz w:val="18"/>
                <w:szCs w:val="18"/>
                <w:highlight w:val="none"/>
              </w:rPr>
            </w:pPr>
            <w:r>
              <w:rPr>
                <w:rFonts w:hint="eastAsia" w:ascii="仿宋_GB2312" w:hAnsi="仿宋_GB2312" w:eastAsia="仿宋_GB2312" w:cs="仿宋_GB2312"/>
                <w:bCs/>
                <w:i w:val="0"/>
                <w:iCs w:val="0"/>
                <w:kern w:val="0"/>
                <w:sz w:val="18"/>
                <w:szCs w:val="18"/>
                <w:highlight w:val="none"/>
              </w:rPr>
              <w:t>形式评审</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kern w:val="0"/>
                <w:sz w:val="18"/>
                <w:szCs w:val="18"/>
                <w:highlight w:val="none"/>
              </w:rPr>
              <w:t>标准</w:t>
            </w:r>
          </w:p>
        </w:tc>
        <w:tc>
          <w:tcPr>
            <w:tcW w:w="2476" w:type="dxa"/>
            <w:tcBorders>
              <w:tl2br w:val="nil"/>
              <w:tr2bl w:val="nil"/>
            </w:tcBorders>
            <w:noWrap w:val="0"/>
            <w:vAlign w:val="center"/>
          </w:tcPr>
          <w:p>
            <w:pPr>
              <w:widowControl/>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投标文件格式</w:t>
            </w:r>
          </w:p>
        </w:tc>
        <w:tc>
          <w:tcPr>
            <w:tcW w:w="4680" w:type="dxa"/>
            <w:tcBorders>
              <w:tl2br w:val="nil"/>
              <w:tr2bl w:val="nil"/>
            </w:tcBorders>
            <w:noWrap w:val="0"/>
            <w:vAlign w:val="center"/>
          </w:tcPr>
          <w:p>
            <w:pPr>
              <w:widowControl/>
              <w:jc w:val="lef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符合第八章“投标文件格式”的要求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rPr>
                <w:rFonts w:hint="eastAsia" w:ascii="仿宋_GB2312" w:hAnsi="仿宋_GB2312" w:eastAsia="仿宋_GB2312" w:cs="仿宋_GB2312"/>
                <w:bCs/>
                <w:i w:val="0"/>
                <w:iCs w:val="0"/>
                <w:kern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bCs/>
                <w:i w:val="0"/>
                <w:iCs w:val="0"/>
                <w:kern w:val="0"/>
                <w:sz w:val="18"/>
                <w:szCs w:val="18"/>
                <w:highlight w:val="none"/>
              </w:rPr>
            </w:pPr>
          </w:p>
        </w:tc>
        <w:tc>
          <w:tcPr>
            <w:tcW w:w="2476" w:type="dxa"/>
            <w:tcBorders>
              <w:tl2br w:val="nil"/>
              <w:tr2bl w:val="nil"/>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未出现异常情形</w:t>
            </w:r>
          </w:p>
        </w:tc>
        <w:tc>
          <w:tcPr>
            <w:tcW w:w="4680" w:type="dxa"/>
            <w:tcBorders>
              <w:tl2br w:val="nil"/>
              <w:tr2bl w:val="nil"/>
            </w:tcBorders>
            <w:noWrap w:val="0"/>
            <w:vAlign w:val="center"/>
          </w:tcPr>
          <w:p>
            <w:pPr>
              <w:widowControl/>
              <w:jc w:val="lef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tcBorders>
              <w:tl2br w:val="nil"/>
              <w:tr2bl w:val="nil"/>
            </w:tcBorders>
            <w:noWrap w:val="0"/>
            <w:vAlign w:val="center"/>
          </w:tcPr>
          <w:p>
            <w:pPr>
              <w:spacing w:line="440" w:lineRule="exact"/>
              <w:rPr>
                <w:rFonts w:hint="eastAsia" w:ascii="仿宋_GB2312" w:hAnsi="仿宋_GB2312" w:eastAsia="仿宋_GB2312" w:cs="仿宋_GB2312"/>
                <w:bCs/>
                <w:i w:val="0"/>
                <w:iCs w:val="0"/>
                <w:kern w:val="0"/>
                <w:sz w:val="18"/>
                <w:szCs w:val="18"/>
                <w:highlight w:val="none"/>
              </w:rPr>
            </w:pPr>
          </w:p>
        </w:tc>
        <w:tc>
          <w:tcPr>
            <w:tcW w:w="1173"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bCs/>
                <w:i w:val="0"/>
                <w:iCs w:val="0"/>
                <w:kern w:val="0"/>
                <w:sz w:val="18"/>
                <w:szCs w:val="18"/>
                <w:highlight w:val="none"/>
              </w:rPr>
            </w:pPr>
          </w:p>
        </w:tc>
        <w:tc>
          <w:tcPr>
            <w:tcW w:w="2476" w:type="dxa"/>
            <w:tcBorders>
              <w:tl2br w:val="nil"/>
              <w:tr2bl w:val="nil"/>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技术标编制</w:t>
            </w:r>
          </w:p>
        </w:tc>
        <w:tc>
          <w:tcPr>
            <w:tcW w:w="4680" w:type="dxa"/>
            <w:tcBorders>
              <w:tl2br w:val="nil"/>
              <w:tr2bl w:val="nil"/>
            </w:tcBorders>
            <w:noWrap w:val="0"/>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符合第二章</w:t>
            </w:r>
            <w:r>
              <w:rPr>
                <w:rFonts w:hint="eastAsia" w:ascii="仿宋_GB2312" w:hAnsi="仿宋_GB2312" w:eastAsia="仿宋_GB2312" w:cs="仿宋_GB2312"/>
                <w:i w:val="0"/>
                <w:iCs w:val="0"/>
                <w:sz w:val="18"/>
                <w:szCs w:val="18"/>
                <w:highlight w:val="none"/>
              </w:rPr>
              <w:t>“投标人须知”第3.7.6项规定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2.1.3</w:t>
            </w:r>
          </w:p>
        </w:tc>
        <w:tc>
          <w:tcPr>
            <w:tcW w:w="1173"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Cs/>
                <w:i w:val="0"/>
                <w:iCs w:val="0"/>
                <w:kern w:val="0"/>
                <w:sz w:val="18"/>
                <w:szCs w:val="18"/>
                <w:highlight w:val="none"/>
              </w:rPr>
              <w:t>响应性评审标准</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发包人要求</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符合第五章“发包人要求”的规定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gridSpan w:val="2"/>
            <w:tcBorders>
              <w:tl2br w:val="nil"/>
              <w:tr2bl w:val="nil"/>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条款号</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条款内容</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b/>
                <w:i w:val="0"/>
                <w:iCs w:val="0"/>
                <w:sz w:val="18"/>
                <w:szCs w:val="18"/>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gridSpan w:val="2"/>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2.2.1</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分值构成</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(总分100分)</w:t>
            </w:r>
          </w:p>
        </w:tc>
        <w:tc>
          <w:tcPr>
            <w:tcW w:w="4680" w:type="dxa"/>
            <w:tcBorders>
              <w:tl2br w:val="nil"/>
              <w:tr2bl w:val="nil"/>
            </w:tcBorders>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资信业绩部分：</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其他评分因素：</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承包人建议书：</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w:t>
            </w:r>
          </w:p>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承包人项目管理实施方案：</w:t>
            </w:r>
            <w:r>
              <w:rPr>
                <w:rFonts w:hint="eastAsia" w:ascii="仿宋_GB2312" w:hAnsi="仿宋_GB2312" w:eastAsia="仿宋_GB2312" w:cs="仿宋_GB2312"/>
                <w:i w:val="0"/>
                <w:iCs w:val="0"/>
                <w:sz w:val="18"/>
                <w:szCs w:val="18"/>
                <w:highlight w:val="none"/>
                <w:u w:val="single"/>
              </w:rPr>
              <w:t xml:space="preserve">       </w:t>
            </w:r>
            <w:r>
              <w:rPr>
                <w:rFonts w:hint="eastAsia" w:ascii="仿宋_GB2312" w:hAnsi="仿宋_GB2312" w:eastAsia="仿宋_GB2312" w:cs="仿宋_GB2312"/>
                <w:i w:val="0"/>
                <w:iCs w:val="0"/>
                <w:sz w:val="18"/>
                <w:szCs w:val="18"/>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gridSpan w:val="2"/>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2.2.2</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评标基准价计算方法</w:t>
            </w:r>
          </w:p>
        </w:tc>
        <w:tc>
          <w:tcPr>
            <w:tcW w:w="4680" w:type="dxa"/>
            <w:tcBorders>
              <w:tl2br w:val="nil"/>
              <w:tr2bl w:val="nil"/>
            </w:tcBorders>
            <w:noWrap w:val="0"/>
            <w:vAlign w:val="center"/>
          </w:tcPr>
          <w:p>
            <w:pPr>
              <w:spacing w:line="360" w:lineRule="auto"/>
              <w:jc w:val="left"/>
              <w:rPr>
                <w:rFonts w:ascii="仿宋" w:hAnsi="仿宋" w:eastAsia="仿宋" w:cs="仿宋"/>
                <w:b/>
                <w:i w:val="0"/>
                <w:iCs w:val="0"/>
                <w:kern w:val="0"/>
                <w:sz w:val="18"/>
                <w:szCs w:val="18"/>
                <w:highlight w:val="none"/>
              </w:rPr>
            </w:pPr>
            <w:r>
              <w:rPr>
                <w:rFonts w:hint="eastAsia" w:ascii="仿宋" w:hAnsi="仿宋" w:eastAsia="仿宋" w:cs="仿宋"/>
                <w:b/>
                <w:i w:val="0"/>
                <w:iCs w:val="0"/>
                <w:sz w:val="18"/>
                <w:szCs w:val="18"/>
                <w:highlight w:val="none"/>
              </w:rPr>
              <w:t>评标基准价</w:t>
            </w:r>
            <w:r>
              <w:rPr>
                <w:rFonts w:hint="eastAsia" w:ascii="仿宋" w:hAnsi="仿宋" w:eastAsia="仿宋" w:cs="仿宋"/>
                <w:b/>
                <w:i w:val="0"/>
                <w:iCs w:val="0"/>
                <w:kern w:val="0"/>
                <w:sz w:val="18"/>
                <w:szCs w:val="18"/>
                <w:highlight w:val="none"/>
              </w:rPr>
              <w:t>的计算：</w:t>
            </w:r>
          </w:p>
          <w:p>
            <w:pPr>
              <w:spacing w:line="360" w:lineRule="auto"/>
              <w:rPr>
                <w:rFonts w:hint="eastAsia" w:ascii="仿宋" w:hAnsi="仿宋" w:eastAsia="仿宋" w:cs="仿宋"/>
                <w:b/>
                <w:i w:val="0"/>
                <w:iCs w:val="0"/>
                <w:sz w:val="18"/>
                <w:szCs w:val="18"/>
                <w:highlight w:val="none"/>
              </w:rPr>
            </w:pPr>
            <w:r>
              <w:rPr>
                <w:rFonts w:hint="eastAsia" w:ascii="仿宋" w:hAnsi="仿宋" w:eastAsia="仿宋" w:cs="仿宋"/>
                <w:i w:val="0"/>
                <w:iCs w:val="0"/>
                <w:sz w:val="18"/>
                <w:szCs w:val="18"/>
                <w:highlight w:val="none"/>
              </w:rPr>
              <w:t>评标基准价=招标人编制的最高投标限价×K+所有有效投标报价去掉n个最高值和n个最低值后的算术平均值×（1-K），M≤5、n=0；5＜M≤10、n=1；10＜M≤20、n=2；M＞20、n=3。（M为有效报价的数量）。（</w:t>
            </w:r>
            <w:r>
              <w:rPr>
                <w:rFonts w:hint="eastAsia" w:ascii="仿宋" w:hAnsi="仿宋" w:eastAsia="仿宋" w:cs="仿宋"/>
                <w:b w:val="0"/>
                <w:bCs/>
                <w:i w:val="0"/>
                <w:iCs w:val="0"/>
                <w:sz w:val="18"/>
                <w:szCs w:val="18"/>
                <w:highlight w:val="none"/>
              </w:rPr>
              <w:t>计算结果</w:t>
            </w:r>
            <w:r>
              <w:rPr>
                <w:rFonts w:hint="eastAsia" w:ascii="仿宋" w:hAnsi="仿宋" w:eastAsia="仿宋" w:cs="仿宋"/>
                <w:i w:val="0"/>
                <w:iCs w:val="0"/>
                <w:sz w:val="18"/>
                <w:szCs w:val="18"/>
                <w:highlight w:val="none"/>
              </w:rPr>
              <w:t>保留二位小数，小数点后第三位四舍五入）</w:t>
            </w:r>
            <w:r>
              <w:rPr>
                <w:rFonts w:hint="eastAsia" w:ascii="仿宋" w:hAnsi="仿宋" w:eastAsia="仿宋" w:cs="仿宋"/>
                <w:b/>
                <w:i w:val="0"/>
                <w:iCs w:val="0"/>
                <w:sz w:val="18"/>
                <w:szCs w:val="18"/>
                <w:highlight w:val="none"/>
              </w:rPr>
              <w:t>。</w:t>
            </w:r>
          </w:p>
          <w:p>
            <w:pPr>
              <w:spacing w:line="360" w:lineRule="auto"/>
              <w:rPr>
                <w:rFonts w:hint="eastAsia" w:ascii="仿宋" w:hAnsi="仿宋" w:eastAsia="仿宋" w:cs="仿宋"/>
                <w:b/>
                <w:i w:val="0"/>
                <w:iCs w:val="0"/>
                <w:sz w:val="18"/>
                <w:szCs w:val="18"/>
                <w:highlight w:val="none"/>
              </w:rPr>
            </w:pPr>
          </w:p>
          <w:p>
            <w:pPr>
              <w:spacing w:line="360" w:lineRule="auto"/>
              <w:rPr>
                <w:rFonts w:hint="eastAsia" w:ascii="仿宋" w:hAnsi="仿宋" w:eastAsia="仿宋" w:cs="仿宋"/>
                <w:b w:val="0"/>
                <w:bCs w:val="0"/>
                <w:i w:val="0"/>
                <w:iCs w:val="0"/>
                <w:sz w:val="18"/>
                <w:szCs w:val="18"/>
                <w:highlight w:val="none"/>
                <w:lang w:eastAsia="zh-CN"/>
              </w:rPr>
            </w:pPr>
            <w:r>
              <w:rPr>
                <w:rFonts w:hint="eastAsia" w:ascii="仿宋_GB2312" w:hAnsi="仿宋_GB2312" w:eastAsia="仿宋_GB2312" w:cs="仿宋_GB2312"/>
                <w:b/>
                <w:bCs/>
                <w:i w:val="0"/>
                <w:iCs w:val="0"/>
                <w:sz w:val="18"/>
                <w:szCs w:val="18"/>
                <w:highlight w:val="none"/>
              </w:rPr>
              <w:t>招标人编制的最高投标限价在评标基准价中所占的权重</w:t>
            </w:r>
            <w:r>
              <w:rPr>
                <w:rFonts w:hint="eastAsia" w:ascii="仿宋" w:hAnsi="仿宋" w:eastAsia="仿宋" w:cs="仿宋"/>
                <w:b/>
                <w:bCs/>
                <w:i w:val="0"/>
                <w:iCs w:val="0"/>
                <w:sz w:val="18"/>
                <w:szCs w:val="18"/>
                <w:highlight w:val="none"/>
              </w:rPr>
              <w:t>值由电子开标系统在开标后从0.3、0.4、0.5中随机抽取</w:t>
            </w:r>
            <w:r>
              <w:rPr>
                <w:rFonts w:hint="eastAsia" w:ascii="仿宋" w:hAnsi="仿宋" w:eastAsia="仿宋" w:cs="仿宋"/>
                <w:b/>
                <w:bCs/>
                <w:i w:val="0"/>
                <w:iCs w:val="0"/>
                <w:sz w:val="18"/>
                <w:szCs w:val="18"/>
                <w:highlight w:val="none"/>
                <w:lang w:eastAsia="zh-CN"/>
              </w:rPr>
              <w:t>。</w:t>
            </w:r>
          </w:p>
          <w:p>
            <w:pPr>
              <w:spacing w:line="360" w:lineRule="auto"/>
              <w:rPr>
                <w:rFonts w:hint="eastAsia" w:ascii="仿宋" w:hAnsi="仿宋" w:eastAsia="仿宋" w:cs="仿宋"/>
                <w:b w:val="0"/>
                <w:bCs w:val="0"/>
                <w:i w:val="0"/>
                <w:iCs w:val="0"/>
                <w:sz w:val="18"/>
                <w:szCs w:val="18"/>
                <w:highlight w:val="none"/>
              </w:rPr>
            </w:pPr>
          </w:p>
          <w:p>
            <w:pPr>
              <w:spacing w:line="360" w:lineRule="auto"/>
              <w:ind w:firstLine="360" w:firstLineChars="200"/>
              <w:rPr>
                <w:rFonts w:hint="eastAsia" w:ascii="仿宋" w:hAnsi="仿宋" w:eastAsia="仿宋" w:cs="仿宋"/>
                <w:bCs w:val="0"/>
                <w:i w:val="0"/>
                <w:iCs w:val="0"/>
                <w:sz w:val="18"/>
                <w:szCs w:val="18"/>
                <w:highlight w:val="none"/>
              </w:rPr>
            </w:pPr>
            <w:r>
              <w:rPr>
                <w:rFonts w:hint="eastAsia" w:ascii="仿宋" w:hAnsi="仿宋" w:eastAsia="仿宋" w:cs="仿宋"/>
                <w:b w:val="0"/>
                <w:i w:val="0"/>
                <w:iCs w:val="0"/>
                <w:sz w:val="18"/>
                <w:szCs w:val="18"/>
                <w:highlight w:val="none"/>
              </w:rPr>
              <w:t>注：1.</w:t>
            </w:r>
            <w:r>
              <w:rPr>
                <w:rFonts w:hint="eastAsia" w:ascii="仿宋" w:hAnsi="仿宋" w:eastAsia="仿宋" w:cs="仿宋"/>
                <w:bCs w:val="0"/>
                <w:i w:val="0"/>
                <w:iCs w:val="0"/>
                <w:sz w:val="18"/>
                <w:szCs w:val="18"/>
                <w:highlight w:val="none"/>
              </w:rPr>
              <w:t xml:space="preserve"> </w:t>
            </w:r>
            <w:r>
              <w:rPr>
                <w:rFonts w:hint="eastAsia" w:ascii="仿宋" w:hAnsi="仿宋" w:eastAsia="仿宋" w:cs="仿宋"/>
                <w:i w:val="0"/>
                <w:iCs w:val="0"/>
                <w:sz w:val="18"/>
                <w:szCs w:val="18"/>
                <w:highlight w:val="none"/>
              </w:rPr>
              <w:t>有效投标报价：</w:t>
            </w:r>
            <w:r>
              <w:rPr>
                <w:rFonts w:hint="eastAsia" w:ascii="仿宋" w:hAnsi="仿宋" w:eastAsia="仿宋" w:cs="仿宋"/>
                <w:bCs w:val="0"/>
                <w:i w:val="0"/>
                <w:iCs w:val="0"/>
                <w:sz w:val="18"/>
                <w:szCs w:val="18"/>
                <w:highlight w:val="none"/>
              </w:rPr>
              <w:t>指所有通过商务标、技术标初步评审的投标人投标报价，均</w:t>
            </w:r>
            <w:r>
              <w:rPr>
                <w:rFonts w:hint="eastAsia" w:ascii="仿宋" w:hAnsi="仿宋" w:eastAsia="仿宋" w:cs="仿宋"/>
                <w:i w:val="0"/>
                <w:iCs w:val="0"/>
                <w:sz w:val="18"/>
                <w:szCs w:val="18"/>
                <w:highlight w:val="none"/>
              </w:rPr>
              <w:t>指</w:t>
            </w:r>
            <w:r>
              <w:rPr>
                <w:rFonts w:hint="eastAsia" w:ascii="仿宋" w:hAnsi="仿宋" w:eastAsia="仿宋" w:cs="仿宋"/>
                <w:bCs w:val="0"/>
                <w:i w:val="0"/>
                <w:iCs w:val="0"/>
                <w:sz w:val="18"/>
                <w:szCs w:val="18"/>
                <w:highlight w:val="none"/>
              </w:rPr>
              <w:t>算术修正后值。</w:t>
            </w:r>
          </w:p>
          <w:p>
            <w:pPr>
              <w:spacing w:line="400" w:lineRule="exact"/>
              <w:rPr>
                <w:rFonts w:hint="eastAsia" w:ascii="仿宋_GB2312" w:hAnsi="仿宋_GB2312" w:eastAsia="仿宋_GB2312" w:cs="仿宋_GB2312"/>
                <w:i w:val="0"/>
                <w:iCs w:val="0"/>
                <w:sz w:val="18"/>
                <w:szCs w:val="18"/>
                <w:highlight w:val="none"/>
              </w:rPr>
            </w:pPr>
            <w:r>
              <w:rPr>
                <w:rFonts w:hint="eastAsia" w:ascii="仿宋" w:hAnsi="仿宋" w:eastAsia="仿宋" w:cs="仿宋"/>
                <w:b w:val="0"/>
                <w:i w:val="0"/>
                <w:iCs w:val="0"/>
                <w:sz w:val="18"/>
                <w:szCs w:val="18"/>
                <w:highlight w:val="none"/>
              </w:rPr>
              <w:t>2.以上投标报价、招标人编制的最高投标限价、评标基准价在计算投标报价得分时均不含暂列金、暂估价。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2024" w:type="dxa"/>
            <w:gridSpan w:val="2"/>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2.2.3</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投标报价的偏差率</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计算公式</w:t>
            </w:r>
          </w:p>
        </w:tc>
        <w:tc>
          <w:tcPr>
            <w:tcW w:w="4680" w:type="dxa"/>
            <w:tcBorders>
              <w:tl2br w:val="nil"/>
              <w:tr2bl w:val="nil"/>
            </w:tcBorders>
            <w:noWrap w:val="0"/>
            <w:vAlign w:val="center"/>
          </w:tcPr>
          <w:p>
            <w:pPr>
              <w:spacing w:line="440" w:lineRule="exact"/>
              <w:rPr>
                <w:rFonts w:hint="eastAsia" w:ascii="仿宋" w:hAnsi="仿宋" w:eastAsia="仿宋" w:cs="仿宋"/>
                <w:i w:val="0"/>
                <w:iCs w:val="0"/>
                <w:sz w:val="18"/>
                <w:szCs w:val="18"/>
                <w:highlight w:val="none"/>
                <w:lang w:val="en-US" w:eastAsia="zh-CN"/>
              </w:rPr>
            </w:pPr>
            <w:r>
              <w:rPr>
                <w:rFonts w:hint="eastAsia" w:ascii="仿宋" w:hAnsi="仿宋" w:eastAsia="仿宋" w:cs="仿宋"/>
                <w:i w:val="0"/>
                <w:iCs w:val="0"/>
                <w:sz w:val="18"/>
                <w:szCs w:val="18"/>
                <w:highlight w:val="none"/>
                <w:lang w:val="en-US" w:eastAsia="zh-CN"/>
              </w:rPr>
              <w:t>偏差率（P）=</w:t>
            </w:r>
            <w:r>
              <w:rPr>
                <w:rFonts w:hint="eastAsia" w:ascii="仿宋" w:hAnsi="仿宋" w:eastAsia="仿宋" w:cs="仿宋"/>
                <w:i w:val="0"/>
                <w:iCs w:val="0"/>
                <w:sz w:val="18"/>
                <w:szCs w:val="18"/>
                <w:highlight w:val="none"/>
              </w:rPr>
              <w:t>[（投标报价－评标基准价）/评标基准价]</w:t>
            </w:r>
            <w:r>
              <w:rPr>
                <w:rFonts w:hint="default" w:ascii="Arial" w:hAnsi="Arial" w:eastAsia="仿宋" w:cs="Arial"/>
                <w:i w:val="0"/>
                <w:iCs w:val="0"/>
                <w:sz w:val="18"/>
                <w:szCs w:val="18"/>
                <w:highlight w:val="none"/>
              </w:rPr>
              <w:t>×</w:t>
            </w:r>
            <w:r>
              <w:rPr>
                <w:rFonts w:hint="eastAsia" w:ascii="仿宋" w:hAnsi="仿宋" w:eastAsia="仿宋" w:cs="仿宋"/>
                <w:i w:val="0"/>
                <w:iCs w:val="0"/>
                <w:sz w:val="18"/>
                <w:szCs w:val="18"/>
                <w:highlight w:val="none"/>
                <w:lang w:val="en-US" w:eastAsia="zh-CN"/>
              </w:rPr>
              <w:t>100%</w:t>
            </w:r>
          </w:p>
          <w:p>
            <w:pPr>
              <w:spacing w:line="440" w:lineRule="exact"/>
              <w:rPr>
                <w:rFonts w:hint="eastAsia" w:ascii="仿宋" w:hAnsi="仿宋" w:eastAsia="仿宋" w:cs="仿宋"/>
                <w:i w:val="0"/>
                <w:iCs w:val="0"/>
                <w:sz w:val="18"/>
                <w:szCs w:val="18"/>
                <w:highlight w:val="none"/>
                <w:lang w:val="en-US" w:eastAsia="zh-CN"/>
              </w:rPr>
            </w:pPr>
            <w:r>
              <w:rPr>
                <w:rFonts w:hint="eastAsia" w:ascii="仿宋" w:hAnsi="仿宋" w:eastAsia="仿宋" w:cs="仿宋"/>
                <w:i w:val="0"/>
                <w:iCs w:val="0"/>
                <w:sz w:val="18"/>
                <w:szCs w:val="18"/>
                <w:highlight w:val="none"/>
                <w:lang w:val="en-US" w:eastAsia="zh-CN"/>
              </w:rPr>
              <w:t>计算结果保留小数点后两位，小数点后第三位“四舍五入”，即为*.**%。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2024" w:type="dxa"/>
            <w:gridSpan w:val="2"/>
            <w:tcBorders>
              <w:tl2br w:val="nil"/>
              <w:tr2bl w:val="nil"/>
            </w:tcBorders>
            <w:noWrap w:val="0"/>
            <w:vAlign w:val="center"/>
          </w:tcPr>
          <w:p>
            <w:pPr>
              <w:spacing w:line="440" w:lineRule="exact"/>
              <w:jc w:val="center"/>
              <w:rPr>
                <w:rFonts w:hint="default" w:ascii="仿宋_GB2312" w:hAnsi="仿宋_GB2312" w:eastAsia="仿宋_GB2312" w:cs="仿宋_GB2312"/>
                <w:i w:val="0"/>
                <w:iCs w:val="0"/>
                <w:sz w:val="18"/>
                <w:szCs w:val="18"/>
                <w:highlight w:val="none"/>
                <w:lang w:val="en-US" w:eastAsia="zh-CN"/>
              </w:rPr>
            </w:pPr>
            <w:r>
              <w:rPr>
                <w:rFonts w:hint="eastAsia" w:ascii="仿宋_GB2312" w:hAnsi="仿宋_GB2312" w:eastAsia="仿宋_GB2312" w:cs="仿宋_GB2312"/>
                <w:i w:val="0"/>
                <w:iCs w:val="0"/>
                <w:sz w:val="18"/>
                <w:szCs w:val="18"/>
                <w:highlight w:val="none"/>
                <w:lang w:val="en-US" w:eastAsia="zh-CN"/>
              </w:rPr>
              <w:t>3.2.3</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kern w:val="0"/>
                <w:sz w:val="18"/>
                <w:szCs w:val="18"/>
                <w:highlight w:val="none"/>
              </w:rPr>
              <w:t>投标人最终得分的计算方法</w:t>
            </w:r>
          </w:p>
        </w:tc>
        <w:tc>
          <w:tcPr>
            <w:tcW w:w="4680" w:type="dxa"/>
            <w:tcBorders>
              <w:tl2br w:val="nil"/>
              <w:tr2bl w:val="nil"/>
            </w:tcBorders>
            <w:noWrap w:val="0"/>
            <w:vAlign w:val="center"/>
          </w:tcPr>
          <w:p>
            <w:pPr>
              <w:numPr>
                <w:ilvl w:val="0"/>
                <w:numId w:val="12"/>
              </w:numP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资信业绩（A）、</w:t>
            </w:r>
            <w:r>
              <w:rPr>
                <w:rFonts w:hint="eastAsia" w:ascii="仿宋_GB2312" w:hAnsi="仿宋_GB2312" w:eastAsia="仿宋_GB2312" w:cs="仿宋_GB2312"/>
                <w:i w:val="0"/>
                <w:iCs w:val="0"/>
                <w:spacing w:val="-6"/>
                <w:sz w:val="18"/>
                <w:szCs w:val="18"/>
                <w:highlight w:val="none"/>
              </w:rPr>
              <w:t>投标报价（B）</w:t>
            </w:r>
            <w:r>
              <w:rPr>
                <w:rFonts w:hint="eastAsia" w:ascii="仿宋_GB2312" w:hAnsi="仿宋_GB2312" w:eastAsia="仿宋_GB2312" w:cs="仿宋_GB2312"/>
                <w:i w:val="0"/>
                <w:iCs w:val="0"/>
                <w:sz w:val="18"/>
                <w:szCs w:val="18"/>
                <w:highlight w:val="none"/>
              </w:rPr>
              <w:t>、</w:t>
            </w:r>
            <w:r>
              <w:rPr>
                <w:rFonts w:hint="eastAsia" w:ascii="仿宋_GB2312" w:hAnsi="仿宋_GB2312" w:eastAsia="仿宋_GB2312" w:cs="仿宋_GB2312"/>
                <w:bCs/>
                <w:i w:val="0"/>
                <w:iCs w:val="0"/>
                <w:sz w:val="18"/>
                <w:szCs w:val="18"/>
                <w:highlight w:val="none"/>
              </w:rPr>
              <w:t>其他评审因素（C）</w:t>
            </w:r>
            <w:r>
              <w:rPr>
                <w:rFonts w:hint="eastAsia" w:ascii="仿宋_GB2312" w:hAnsi="仿宋_GB2312" w:eastAsia="仿宋_GB2312" w:cs="仿宋_GB2312"/>
                <w:i w:val="0"/>
                <w:iCs w:val="0"/>
                <w:sz w:val="18"/>
                <w:szCs w:val="18"/>
                <w:highlight w:val="none"/>
                <w:lang w:eastAsia="zh-CN"/>
              </w:rPr>
              <w:t>、</w:t>
            </w:r>
            <w:r>
              <w:rPr>
                <w:rFonts w:hint="eastAsia" w:ascii="仿宋_GB2312" w:hAnsi="仿宋_GB2312" w:eastAsia="仿宋_GB2312" w:cs="仿宋_GB2312"/>
                <w:i w:val="0"/>
                <w:iCs w:val="0"/>
                <w:sz w:val="18"/>
                <w:szCs w:val="18"/>
                <w:highlight w:val="none"/>
              </w:rPr>
              <w:t>承包人建议书（D）、承包人项目管理实施方案（E）：所有评委相应评审项评分的算术平均值即为该投标人的该项评审因素最终得分。</w:t>
            </w:r>
          </w:p>
          <w:p>
            <w:pPr>
              <w:numPr>
                <w:ilvl w:val="0"/>
                <w:numId w:val="12"/>
              </w:numPr>
              <w:rPr>
                <w:rFonts w:hint="eastAsia" w:ascii="仿宋" w:hAnsi="仿宋" w:eastAsia="仿宋" w:cs="仿宋"/>
                <w:i w:val="0"/>
                <w:iCs w:val="0"/>
                <w:sz w:val="18"/>
                <w:szCs w:val="18"/>
                <w:highlight w:val="none"/>
                <w:lang w:val="en-US" w:eastAsia="zh-CN"/>
              </w:rPr>
            </w:pPr>
            <w:r>
              <w:rPr>
                <w:rFonts w:hint="eastAsia" w:ascii="仿宋_GB2312" w:hAnsi="仿宋_GB2312" w:eastAsia="仿宋_GB2312" w:cs="仿宋_GB2312"/>
                <w:i w:val="0"/>
                <w:iCs w:val="0"/>
                <w:sz w:val="18"/>
                <w:szCs w:val="18"/>
                <w:highlight w:val="none"/>
              </w:rPr>
              <w:t>投标人最终得分=A+B+C+D+E。</w:t>
            </w:r>
          </w:p>
        </w:tc>
      </w:tr>
    </w:tbl>
    <w:p>
      <w:pPr>
        <w:rPr>
          <w:i w:val="0"/>
          <w:iCs w:val="0"/>
          <w:highlight w:val="none"/>
        </w:rPr>
      </w:pPr>
    </w:p>
    <w:p>
      <w:pPr>
        <w:jc w:val="center"/>
        <w:rPr>
          <w:rFonts w:hint="eastAsia" w:ascii="黑体" w:hAnsi="黑体" w:eastAsia="黑体" w:cs="黑体"/>
          <w:bCs/>
          <w:i w:val="0"/>
          <w:iCs w:val="0"/>
          <w:sz w:val="32"/>
          <w:szCs w:val="32"/>
          <w:highlight w:val="none"/>
        </w:rPr>
      </w:pPr>
    </w:p>
    <w:p>
      <w:pPr>
        <w:jc w:val="center"/>
        <w:rPr>
          <w:i w:val="0"/>
          <w:iCs w:val="0"/>
          <w:highlight w:val="none"/>
        </w:rPr>
      </w:pPr>
      <w:r>
        <w:rPr>
          <w:rFonts w:hint="eastAsia" w:ascii="黑体" w:hAnsi="黑体" w:eastAsia="黑体" w:cs="黑体"/>
          <w:bCs/>
          <w:i w:val="0"/>
          <w:iCs w:val="0"/>
          <w:sz w:val="32"/>
          <w:szCs w:val="32"/>
          <w:highlight w:val="none"/>
        </w:rPr>
        <w:t>评分标准表</w:t>
      </w:r>
    </w:p>
    <w:tbl>
      <w:tblPr>
        <w:tblStyle w:val="41"/>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24"/>
        <w:gridCol w:w="2476"/>
        <w:gridCol w:w="4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gridSpan w:val="2"/>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
                <w:i w:val="0"/>
                <w:iCs w:val="0"/>
                <w:sz w:val="18"/>
                <w:szCs w:val="18"/>
                <w:highlight w:val="none"/>
              </w:rPr>
              <w:t>条款号</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评分因素（偏差率）</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b/>
                <w:i w:val="0"/>
                <w:iCs w:val="0"/>
                <w:sz w:val="18"/>
                <w:szCs w:val="18"/>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00"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2.2.4（1）</w:t>
            </w:r>
          </w:p>
        </w:tc>
        <w:tc>
          <w:tcPr>
            <w:tcW w:w="1124"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资信业绩评分标准</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u w:val="single"/>
              </w:rPr>
              <w:t>A</w:t>
            </w:r>
            <w:r>
              <w:rPr>
                <w:rFonts w:hint="eastAsia" w:ascii="仿宋_GB2312" w:hAnsi="仿宋" w:eastAsia="仿宋_GB2312" w:cs="仿宋"/>
                <w:bCs/>
                <w:i w:val="0"/>
                <w:iCs w:val="0"/>
                <w:sz w:val="18"/>
                <w:szCs w:val="18"/>
                <w:highlight w:val="none"/>
              </w:rPr>
              <w:t>分）</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信誉</w:t>
            </w:r>
          </w:p>
        </w:tc>
        <w:tc>
          <w:tcPr>
            <w:tcW w:w="4680" w:type="dxa"/>
            <w:tcBorders>
              <w:tl2br w:val="nil"/>
              <w:tr2bl w:val="nil"/>
            </w:tcBorders>
            <w:noWrap w:val="0"/>
            <w:vAlign w:val="center"/>
          </w:tcPr>
          <w:p>
            <w:pPr>
              <w:spacing w:line="440" w:lineRule="exact"/>
              <w:jc w:val="left"/>
              <w:rPr>
                <w:rFonts w:hint="eastAsia" w:ascii="仿宋_GB2312" w:hAnsi="仿宋_GB2312" w:eastAsia="仿宋_GB2312" w:cs="仿宋_GB2312"/>
                <w:i w:val="0"/>
                <w:iCs w:val="0"/>
                <w:kern w:val="2"/>
                <w:sz w:val="21"/>
                <w:szCs w:val="21"/>
                <w:highlight w:val="none"/>
                <w:lang w:val="en-US" w:eastAsia="zh-CN" w:bidi="ar-SA"/>
              </w:rPr>
            </w:pPr>
            <w:r>
              <w:rPr>
                <w:rFonts w:hint="eastAsia" w:ascii="仿宋_GB2312" w:hAnsi="仿宋" w:eastAsia="仿宋_GB2312" w:cs="仿宋"/>
                <w:b/>
                <w:bCs w:val="0"/>
                <w:i w:val="0"/>
                <w:iCs w:val="0"/>
                <w:sz w:val="21"/>
                <w:szCs w:val="21"/>
                <w:highlight w:val="none"/>
                <w:lang w:val="en-US" w:eastAsia="zh-CN"/>
              </w:rPr>
              <w:t>说明：</w:t>
            </w:r>
            <w:r>
              <w:rPr>
                <w:rFonts w:hint="eastAsia" w:ascii="仿宋_GB2312" w:hAnsi="仿宋" w:eastAsia="仿宋_GB2312" w:cs="仿宋"/>
                <w:b/>
                <w:bCs w:val="0"/>
                <w:i w:val="0"/>
                <w:iCs w:val="0"/>
                <w:sz w:val="21"/>
                <w:szCs w:val="21"/>
                <w:highlight w:val="none"/>
              </w:rPr>
              <w:t>投标人信用</w:t>
            </w:r>
            <w:r>
              <w:rPr>
                <w:rFonts w:hint="eastAsia" w:ascii="仿宋_GB2312" w:hAnsi="仿宋" w:eastAsia="仿宋_GB2312" w:cs="仿宋"/>
                <w:b/>
                <w:bCs w:val="0"/>
                <w:i w:val="0"/>
                <w:iCs w:val="0"/>
                <w:sz w:val="21"/>
                <w:szCs w:val="21"/>
                <w:highlight w:val="none"/>
                <w:lang w:eastAsia="zh-CN"/>
              </w:rPr>
              <w:t>，</w:t>
            </w:r>
            <w:r>
              <w:rPr>
                <w:rFonts w:hint="eastAsia" w:ascii="仿宋_GB2312" w:hAnsi="仿宋" w:eastAsia="仿宋_GB2312" w:cs="仿宋"/>
                <w:b/>
                <w:bCs w:val="0"/>
                <w:i w:val="0"/>
                <w:iCs w:val="0"/>
                <w:sz w:val="21"/>
                <w:szCs w:val="21"/>
                <w:highlight w:val="none"/>
              </w:rPr>
              <w:t>依据水利建设市场监管平台（http://xypt.mwr.cn/）公布的水利建设市场主体信用等级赋分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00"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类似项目业绩</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00"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项目经理业绩</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00"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lang w:eastAsia="zh-CN"/>
              </w:rPr>
            </w:pPr>
            <w:r>
              <w:rPr>
                <w:rFonts w:hint="eastAsia" w:ascii="仿宋_GB2312" w:hAnsi="仿宋_GB2312" w:eastAsia="仿宋_GB2312" w:cs="仿宋_GB2312"/>
                <w:i w:val="0"/>
                <w:iCs w:val="0"/>
                <w:sz w:val="18"/>
                <w:szCs w:val="18"/>
                <w:highlight w:val="none"/>
              </w:rPr>
              <w:t>其他</w:t>
            </w:r>
            <w:r>
              <w:rPr>
                <w:rFonts w:hint="eastAsia" w:ascii="仿宋_GB2312" w:hAnsi="仿宋_GB2312" w:eastAsia="仿宋_GB2312" w:cs="仿宋_GB2312"/>
                <w:i w:val="0"/>
                <w:iCs w:val="0"/>
                <w:sz w:val="18"/>
                <w:szCs w:val="18"/>
                <w:highlight w:val="none"/>
                <w:lang w:eastAsia="zh-CN"/>
              </w:rPr>
              <w:t>因素</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b/>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2.2.4（2）</w:t>
            </w:r>
          </w:p>
        </w:tc>
        <w:tc>
          <w:tcPr>
            <w:tcW w:w="1124"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投标报价评分标准</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u w:val="single"/>
                <w:lang w:val="en-US" w:eastAsia="zh-CN"/>
              </w:rPr>
              <w:t>B</w:t>
            </w:r>
            <w:r>
              <w:rPr>
                <w:rFonts w:hint="eastAsia" w:ascii="仿宋_GB2312" w:hAnsi="仿宋" w:eastAsia="仿宋_GB2312" w:cs="仿宋"/>
                <w:bCs/>
                <w:i w:val="0"/>
                <w:iCs w:val="0"/>
                <w:sz w:val="18"/>
                <w:szCs w:val="18"/>
                <w:highlight w:val="none"/>
              </w:rPr>
              <w:t>分）</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 w:eastAsia="仿宋_GB2312" w:cs="仿宋"/>
                <w:bCs/>
                <w:i w:val="0"/>
                <w:iCs w:val="0"/>
                <w:sz w:val="18"/>
                <w:szCs w:val="18"/>
                <w:highlight w:val="none"/>
              </w:rPr>
              <w:t>总报价（</w:t>
            </w:r>
            <w:r>
              <w:rPr>
                <w:rFonts w:hint="eastAsia" w:ascii="仿宋_GB2312" w:hAnsi="仿宋" w:eastAsia="仿宋_GB2312" w:cs="仿宋"/>
                <w:bCs/>
                <w:i w:val="0"/>
                <w:iCs w:val="0"/>
                <w:sz w:val="18"/>
                <w:szCs w:val="18"/>
                <w:highlight w:val="none"/>
                <w:lang w:val="en-US" w:eastAsia="zh-CN"/>
              </w:rPr>
              <w:t>B</w:t>
            </w:r>
            <w:r>
              <w:rPr>
                <w:rFonts w:hint="eastAsia" w:ascii="仿宋_GB2312" w:hAnsi="仿宋" w:eastAsia="仿宋_GB2312" w:cs="仿宋"/>
                <w:bCs/>
                <w:i w:val="0"/>
                <w:iCs w:val="0"/>
                <w:sz w:val="18"/>
                <w:szCs w:val="18"/>
                <w:highlight w:val="none"/>
              </w:rPr>
              <w:t>1分）</w:t>
            </w:r>
          </w:p>
        </w:tc>
        <w:tc>
          <w:tcPr>
            <w:tcW w:w="4680" w:type="dxa"/>
            <w:tcBorders>
              <w:tl2br w:val="nil"/>
              <w:tr2bl w:val="nil"/>
            </w:tcBorders>
            <w:noWrap w:val="0"/>
            <w:vAlign w:val="top"/>
          </w:tcPr>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报价偏差率为F%时投标报价得满分</w:t>
            </w:r>
            <w:r>
              <w:rPr>
                <w:rFonts w:hint="eastAsia" w:ascii="仿宋_GB2312" w:hAnsi="_x000B__x000C_" w:eastAsia="仿宋_GB2312"/>
                <w:i w:val="0"/>
                <w:iCs w:val="0"/>
                <w:sz w:val="18"/>
                <w:szCs w:val="18"/>
                <w:highlight w:val="none"/>
                <w:lang w:val="en-US" w:eastAsia="zh-CN"/>
              </w:rPr>
              <w:t>B</w:t>
            </w:r>
            <w:r>
              <w:rPr>
                <w:rFonts w:hint="eastAsia" w:ascii="仿宋_GB2312" w:hAnsi="_x000B__x000C_" w:eastAsia="仿宋_GB2312"/>
                <w:i w:val="0"/>
                <w:iCs w:val="0"/>
                <w:sz w:val="18"/>
                <w:szCs w:val="18"/>
                <w:highlight w:val="none"/>
              </w:rPr>
              <w:t>1；报价偏差率为F％以上的，每上升一个百分点扣</w:t>
            </w:r>
            <w:r>
              <w:rPr>
                <w:rFonts w:hint="eastAsia" w:ascii="仿宋_GB2312" w:hAnsi="_x000B__x000C_" w:eastAsia="仿宋_GB2312"/>
                <w:b/>
                <w:i w:val="0"/>
                <w:iCs w:val="0"/>
                <w:sz w:val="18"/>
                <w:szCs w:val="18"/>
                <w:highlight w:val="none"/>
                <w:u w:val="single"/>
              </w:rPr>
              <w:t>E</w:t>
            </w:r>
            <w:r>
              <w:rPr>
                <w:rFonts w:hint="eastAsia" w:ascii="仿宋_GB2312" w:hAnsi="_x000B__x000C_" w:eastAsia="仿宋_GB2312"/>
                <w:b/>
                <w:i w:val="0"/>
                <w:iCs w:val="0"/>
                <w:sz w:val="18"/>
                <w:szCs w:val="18"/>
                <w:highlight w:val="none"/>
                <w:u w:val="single"/>
                <w:vertAlign w:val="subscript"/>
              </w:rPr>
              <w:t>1</w:t>
            </w:r>
            <w:r>
              <w:rPr>
                <w:rFonts w:hint="eastAsia" w:ascii="仿宋_GB2312" w:hAnsi="_x000B__x000C_" w:eastAsia="仿宋_GB2312"/>
                <w:i w:val="0"/>
                <w:iCs w:val="0"/>
                <w:sz w:val="18"/>
                <w:szCs w:val="18"/>
                <w:highlight w:val="none"/>
              </w:rPr>
              <w:t>分，扣完为止（不得负分）；报价偏差率为F％以下的，每下降一个百分点扣</w:t>
            </w:r>
            <w:r>
              <w:rPr>
                <w:rFonts w:hint="eastAsia" w:ascii="仿宋_GB2312" w:hAnsi="_x000B__x000C_" w:eastAsia="仿宋_GB2312"/>
                <w:b/>
                <w:i w:val="0"/>
                <w:iCs w:val="0"/>
                <w:sz w:val="18"/>
                <w:szCs w:val="18"/>
                <w:highlight w:val="none"/>
                <w:u w:val="single"/>
              </w:rPr>
              <w:t>E</w:t>
            </w:r>
            <w:r>
              <w:rPr>
                <w:rFonts w:hint="eastAsia" w:ascii="仿宋_GB2312" w:hAnsi="_x000B__x000C_" w:eastAsia="仿宋_GB2312"/>
                <w:b/>
                <w:i w:val="0"/>
                <w:iCs w:val="0"/>
                <w:sz w:val="18"/>
                <w:szCs w:val="18"/>
                <w:highlight w:val="none"/>
                <w:u w:val="single"/>
                <w:vertAlign w:val="subscript"/>
              </w:rPr>
              <w:t>2</w:t>
            </w:r>
            <w:r>
              <w:rPr>
                <w:rFonts w:hint="eastAsia" w:ascii="仿宋_GB2312" w:hAnsi="_x000B__x000C_" w:eastAsia="仿宋_GB2312"/>
                <w:i w:val="0"/>
                <w:iCs w:val="0"/>
                <w:sz w:val="18"/>
                <w:szCs w:val="18"/>
                <w:highlight w:val="none"/>
              </w:rPr>
              <w:t>分，扣完为止（不得负分）。</w:t>
            </w:r>
          </w:p>
          <w:p>
            <w:pPr>
              <w:spacing w:line="440" w:lineRule="exact"/>
              <w:rPr>
                <w:rFonts w:hint="eastAsia" w:ascii="仿宋_GB2312" w:hAnsi="_x000B__x000C_" w:eastAsia="仿宋_GB2312"/>
                <w:b/>
                <w:bCs/>
                <w:i w:val="0"/>
                <w:iCs w:val="0"/>
                <w:sz w:val="18"/>
                <w:szCs w:val="18"/>
                <w:highlight w:val="none"/>
              </w:rPr>
            </w:pPr>
            <w:r>
              <w:rPr>
                <w:rFonts w:hint="eastAsia" w:ascii="仿宋_GB2312" w:hAnsi="_x000B__x000C_" w:eastAsia="仿宋_GB2312"/>
                <w:b/>
                <w:bCs/>
                <w:i w:val="0"/>
                <w:iCs w:val="0"/>
                <w:sz w:val="18"/>
                <w:szCs w:val="18"/>
                <w:highlight w:val="none"/>
              </w:rPr>
              <w:t>投标报价得分计算公式：</w:t>
            </w:r>
          </w:p>
          <w:p>
            <w:pPr>
              <w:numPr>
                <w:ilvl w:val="0"/>
                <w:numId w:val="0"/>
              </w:numPr>
              <w:spacing w:line="440" w:lineRule="exact"/>
              <w:jc w:val="lef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lang w:val="en-US" w:eastAsia="zh-CN"/>
              </w:rPr>
              <w:t>1</w:t>
            </w: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rPr>
              <w:t xml:space="preserve">报价偏差率大于F%时：投标总价得分= </w:t>
            </w:r>
            <w:r>
              <w:rPr>
                <w:rFonts w:hint="eastAsia" w:ascii="仿宋_GB2312" w:hAnsi="_x000B__x000C_" w:eastAsia="仿宋_GB2312"/>
                <w:i w:val="0"/>
                <w:iCs w:val="0"/>
                <w:sz w:val="18"/>
                <w:szCs w:val="18"/>
                <w:highlight w:val="none"/>
                <w:lang w:val="en-US" w:eastAsia="zh-CN"/>
              </w:rPr>
              <w:t>B</w:t>
            </w:r>
            <w:r>
              <w:rPr>
                <w:rFonts w:hint="eastAsia" w:ascii="仿宋_GB2312" w:hAnsi="_x000B__x000C_" w:eastAsia="仿宋_GB2312"/>
                <w:i w:val="0"/>
                <w:iCs w:val="0"/>
                <w:sz w:val="18"/>
                <w:szCs w:val="18"/>
                <w:highlight w:val="none"/>
              </w:rPr>
              <w:t>1 -</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P-F%</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*100*E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，且最低为0分。</w:t>
            </w:r>
          </w:p>
          <w:p>
            <w:pPr>
              <w:spacing w:line="440" w:lineRule="exact"/>
              <w:jc w:val="left"/>
              <w:rPr>
                <w:rFonts w:hint="eastAsia" w:ascii="仿宋_GB2312" w:hAnsi="_x000B__x000C_" w:eastAsia="仿宋_GB2312"/>
                <w:i w:val="0"/>
                <w:iCs w:val="0"/>
                <w:sz w:val="18"/>
                <w:szCs w:val="18"/>
                <w:highlight w:val="none"/>
                <w:vertAlign w:val="subscript"/>
              </w:rPr>
            </w:pP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lang w:val="en-US" w:eastAsia="zh-CN"/>
              </w:rPr>
              <w:t>2</w:t>
            </w: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rPr>
              <w:t xml:space="preserve">报价偏差率小于F%时：投标总价得分= </w:t>
            </w:r>
            <w:r>
              <w:rPr>
                <w:rFonts w:hint="eastAsia" w:ascii="仿宋_GB2312" w:hAnsi="_x000B__x000C_" w:eastAsia="仿宋_GB2312"/>
                <w:i w:val="0"/>
                <w:iCs w:val="0"/>
                <w:sz w:val="18"/>
                <w:szCs w:val="18"/>
                <w:highlight w:val="none"/>
                <w:lang w:val="en-US" w:eastAsia="zh-CN"/>
              </w:rPr>
              <w:t>B</w:t>
            </w:r>
            <w:r>
              <w:rPr>
                <w:rFonts w:hint="eastAsia" w:ascii="仿宋_GB2312" w:hAnsi="_x000B__x000C_" w:eastAsia="仿宋_GB2312"/>
                <w:i w:val="0"/>
                <w:iCs w:val="0"/>
                <w:sz w:val="18"/>
                <w:szCs w:val="18"/>
                <w:highlight w:val="none"/>
              </w:rPr>
              <w:t>1 +</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P-F%</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*100*E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，且最低为0分。</w:t>
            </w:r>
          </w:p>
          <w:p>
            <w:pPr>
              <w:spacing w:line="440" w:lineRule="exact"/>
              <w:ind w:left="391" w:leftChars="186" w:firstLine="23" w:firstLineChars="13"/>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其中：</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lang w:val="en-US" w:eastAsia="zh-CN"/>
              </w:rPr>
              <w:t>B</w:t>
            </w:r>
            <w:r>
              <w:rPr>
                <w:rFonts w:hint="eastAsia" w:ascii="仿宋_GB2312" w:hAnsi="_x000B__x000C_" w:eastAsia="仿宋_GB2312"/>
                <w:i w:val="0"/>
                <w:iCs w:val="0"/>
                <w:sz w:val="18"/>
                <w:szCs w:val="18"/>
                <w:highlight w:val="none"/>
              </w:rPr>
              <w:t>1：投标总价分值；</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P：报价偏差率；</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：报价偏差率大于F%时扣分值；</w:t>
            </w:r>
          </w:p>
          <w:p>
            <w:pPr>
              <w:spacing w:line="440" w:lineRule="exact"/>
              <w:ind w:firstLine="360" w:firstLineChars="20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：报价偏差率小于F%时扣分值。</w:t>
            </w:r>
          </w:p>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b/>
                <w:bCs/>
                <w:i w:val="0"/>
                <w:iCs w:val="0"/>
                <w:sz w:val="18"/>
                <w:szCs w:val="18"/>
                <w:highlight w:val="none"/>
              </w:rPr>
              <w:t>投标总价得分</w:t>
            </w:r>
            <w:r>
              <w:rPr>
                <w:rFonts w:hint="eastAsia" w:ascii="仿宋_GB2312" w:hAnsi="_x000B__x000C_" w:eastAsia="仿宋_GB2312"/>
                <w:i w:val="0"/>
                <w:iCs w:val="0"/>
                <w:sz w:val="18"/>
                <w:szCs w:val="18"/>
                <w:highlight w:val="none"/>
              </w:rPr>
              <w:t>保留小数点后二位数字，小数点后第三位“四舍五入”。</w:t>
            </w:r>
          </w:p>
          <w:p>
            <w:pPr>
              <w:spacing w:line="400" w:lineRule="exact"/>
              <w:rPr>
                <w:rFonts w:hint="eastAsia" w:ascii="仿宋_GB2312" w:hAnsi="仿宋_GB2312" w:eastAsia="仿宋_GB2312" w:cs="仿宋_GB2312"/>
                <w:i w:val="0"/>
                <w:iCs w:val="0"/>
                <w:sz w:val="18"/>
                <w:szCs w:val="18"/>
                <w:highlight w:val="none"/>
              </w:rPr>
            </w:pPr>
            <w:r>
              <w:rPr>
                <w:rFonts w:hint="eastAsia" w:ascii="仿宋_GB2312" w:hAnsi="_x000B__x000C_" w:eastAsia="仿宋_GB2312"/>
                <w:i w:val="0"/>
                <w:iCs w:val="0"/>
                <w:sz w:val="18"/>
                <w:szCs w:val="18"/>
                <w:highlight w:val="none"/>
              </w:rPr>
              <w:t>其中：</w:t>
            </w:r>
            <w:r>
              <w:rPr>
                <w:rFonts w:hint="eastAsia" w:ascii="仿宋_GB2312" w:hAnsi="_x000B__x000C_" w:eastAsia="仿宋_GB2312"/>
                <w:i w:val="0"/>
                <w:iCs w:val="0"/>
                <w:sz w:val="18"/>
                <w:szCs w:val="18"/>
                <w:highlight w:val="none"/>
                <w:lang w:val="en-US" w:eastAsia="zh-CN"/>
              </w:rPr>
              <w:t>B</w:t>
            </w:r>
            <w:r>
              <w:rPr>
                <w:rFonts w:hint="eastAsia" w:ascii="仿宋_GB2312" w:hAnsi="_x000B__x000C_" w:eastAsia="仿宋_GB2312"/>
                <w:i w:val="0"/>
                <w:iCs w:val="0"/>
                <w:sz w:val="18"/>
                <w:szCs w:val="18"/>
                <w:highlight w:val="none"/>
              </w:rPr>
              <w:t>1=</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；F=</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w:t>
            </w:r>
            <w:r>
              <w:rPr>
                <w:rFonts w:hint="eastAsia" w:ascii="仿宋_GB2312" w:hAnsi="_x000B__x000C_" w:eastAsia="仿宋_GB2312"/>
                <w:b/>
                <w:i w:val="0"/>
                <w:iCs w:val="0"/>
                <w:sz w:val="18"/>
                <w:szCs w:val="18"/>
                <w:highlight w:val="none"/>
              </w:rPr>
              <w:t>（招标人根据需要确定）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vMerge w:val="restart"/>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2.2.4（3）</w:t>
            </w:r>
          </w:p>
        </w:tc>
        <w:tc>
          <w:tcPr>
            <w:tcW w:w="1124"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其他因素评分标准</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u w:val="single"/>
                <w:lang w:val="en-US" w:eastAsia="zh-CN"/>
              </w:rPr>
              <w:t>C</w:t>
            </w:r>
            <w:r>
              <w:rPr>
                <w:rFonts w:hint="eastAsia" w:ascii="仿宋_GB2312" w:hAnsi="仿宋" w:eastAsia="仿宋_GB2312" w:cs="仿宋"/>
                <w:bCs/>
                <w:i w:val="0"/>
                <w:iCs w:val="0"/>
                <w:sz w:val="18"/>
                <w:szCs w:val="18"/>
                <w:highlight w:val="none"/>
              </w:rPr>
              <w:t>分）</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900"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2.2.4（4）</w:t>
            </w:r>
          </w:p>
        </w:tc>
        <w:tc>
          <w:tcPr>
            <w:tcW w:w="1124"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承包人建议书评分标准</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u w:val="single"/>
                <w:lang w:val="en-US" w:eastAsia="zh-CN"/>
              </w:rPr>
              <w:t>D</w:t>
            </w:r>
            <w:r>
              <w:rPr>
                <w:rFonts w:hint="eastAsia" w:ascii="仿宋_GB2312" w:hAnsi="仿宋" w:eastAsia="仿宋_GB2312" w:cs="仿宋"/>
                <w:bCs/>
                <w:i w:val="0"/>
                <w:iCs w:val="0"/>
                <w:sz w:val="18"/>
                <w:szCs w:val="18"/>
                <w:highlight w:val="none"/>
              </w:rPr>
              <w:t>分）</w:t>
            </w:r>
          </w:p>
        </w:tc>
        <w:tc>
          <w:tcPr>
            <w:tcW w:w="2476" w:type="dxa"/>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图纸</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工程详细说明</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设备方案</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00"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top"/>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00"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2.2.4（5）</w:t>
            </w:r>
          </w:p>
        </w:tc>
        <w:tc>
          <w:tcPr>
            <w:tcW w:w="1124" w:type="dxa"/>
            <w:vMerge w:val="restart"/>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承包人项目管理实施方案评分标准</w:t>
            </w:r>
          </w:p>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u w:val="single"/>
                <w:lang w:val="en-US" w:eastAsia="zh-CN"/>
              </w:rPr>
              <w:t>E</w:t>
            </w:r>
            <w:r>
              <w:rPr>
                <w:rFonts w:hint="eastAsia" w:ascii="仿宋_GB2312" w:hAnsi="仿宋" w:eastAsia="仿宋_GB2312" w:cs="仿宋"/>
                <w:bCs/>
                <w:i w:val="0"/>
                <w:iCs w:val="0"/>
                <w:sz w:val="18"/>
                <w:szCs w:val="18"/>
                <w:highlight w:val="none"/>
              </w:rPr>
              <w:t>分）</w:t>
            </w: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总体项目管理实施方案</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900"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项目实施要点</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900"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项目管理要点</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900"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124" w:type="dxa"/>
            <w:vMerge w:val="continue"/>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476"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4680" w:type="dxa"/>
            <w:tcBorders>
              <w:tl2br w:val="nil"/>
              <w:tr2bl w:val="nil"/>
            </w:tcBorders>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r>
    </w:tbl>
    <w:p>
      <w:pPr>
        <w:pStyle w:val="3"/>
        <w:pageBreakBefore w:val="0"/>
        <w:widowControl w:val="0"/>
        <w:kinsoku/>
        <w:wordWrap/>
        <w:overflowPunct/>
        <w:topLinePunct w:val="0"/>
        <w:autoSpaceDE/>
        <w:autoSpaceDN/>
        <w:bidi w:val="0"/>
        <w:spacing w:before="0" w:after="0"/>
        <w:textAlignment w:val="auto"/>
        <w:rPr>
          <w:i w:val="0"/>
          <w:iCs w:val="0"/>
          <w:highlight w:val="none"/>
        </w:rPr>
      </w:pPr>
      <w:r>
        <w:rPr>
          <w:i w:val="0"/>
          <w:iCs w:val="0"/>
          <w:highlight w:val="none"/>
        </w:rPr>
        <w:br w:type="page"/>
      </w:r>
      <w:bookmarkStart w:id="461" w:name="_Toc247527625"/>
      <w:bookmarkStart w:id="462" w:name="_Toc152045600"/>
      <w:bookmarkStart w:id="463" w:name="_Toc247514024"/>
      <w:bookmarkStart w:id="464" w:name="_Toc144974567"/>
      <w:bookmarkStart w:id="465" w:name="_Toc152042377"/>
      <w:bookmarkStart w:id="466" w:name="_Toc32707"/>
      <w:r>
        <w:rPr>
          <w:rFonts w:hint="eastAsia" w:ascii="黑体" w:hAnsi="黑体" w:eastAsia="黑体" w:cs="黑体"/>
          <w:b w:val="0"/>
          <w:bCs w:val="0"/>
          <w:i w:val="0"/>
          <w:iCs w:val="0"/>
          <w:highlight w:val="none"/>
        </w:rPr>
        <w:t>1. 评标方法</w:t>
      </w:r>
      <w:bookmarkEnd w:id="461"/>
      <w:bookmarkEnd w:id="462"/>
      <w:bookmarkEnd w:id="463"/>
      <w:bookmarkEnd w:id="464"/>
      <w:bookmarkEnd w:id="465"/>
      <w:bookmarkEnd w:id="466"/>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外。综合评分相等时，以投标报价低的优先；投标报价也相等的，按照评标办法前附表的规定确定中标候选人顺序。</w:t>
      </w:r>
    </w:p>
    <w:p>
      <w:pPr>
        <w:pStyle w:val="3"/>
        <w:pageBreakBefore w:val="0"/>
        <w:widowControl w:val="0"/>
        <w:kinsoku/>
        <w:wordWrap/>
        <w:overflowPunct/>
        <w:topLinePunct w:val="0"/>
        <w:autoSpaceDE/>
        <w:autoSpaceDN/>
        <w:bidi w:val="0"/>
        <w:spacing w:before="0" w:after="0"/>
        <w:textAlignment w:val="auto"/>
        <w:rPr>
          <w:b w:val="0"/>
          <w:bCs w:val="0"/>
          <w:i w:val="0"/>
          <w:iCs w:val="0"/>
          <w:highlight w:val="none"/>
        </w:rPr>
      </w:pPr>
      <w:bookmarkStart w:id="467" w:name="_Toc152042378"/>
      <w:bookmarkStart w:id="468" w:name="_Toc29737"/>
      <w:bookmarkStart w:id="469" w:name="_Toc247514025"/>
      <w:bookmarkStart w:id="470" w:name="_Toc152045601"/>
      <w:bookmarkStart w:id="471" w:name="_Toc247527626"/>
      <w:bookmarkStart w:id="472" w:name="_Toc144974568"/>
      <w:r>
        <w:rPr>
          <w:rFonts w:hint="eastAsia"/>
          <w:b w:val="0"/>
          <w:bCs w:val="0"/>
          <w:i w:val="0"/>
          <w:iCs w:val="0"/>
          <w:highlight w:val="none"/>
        </w:rPr>
        <w:t>2. 评审标准</w:t>
      </w:r>
      <w:bookmarkEnd w:id="467"/>
      <w:bookmarkEnd w:id="468"/>
      <w:bookmarkEnd w:id="469"/>
      <w:bookmarkEnd w:id="470"/>
      <w:bookmarkEnd w:id="471"/>
      <w:bookmarkEnd w:id="472"/>
    </w:p>
    <w:p>
      <w:pPr>
        <w:pStyle w:val="4"/>
        <w:pageBreakBefore w:val="0"/>
        <w:widowControl w:val="0"/>
        <w:kinsoku/>
        <w:wordWrap/>
        <w:overflowPunct/>
        <w:topLinePunct w:val="0"/>
        <w:autoSpaceDE/>
        <w:autoSpaceDN/>
        <w:bidi w:val="0"/>
        <w:spacing w:before="0" w:after="0"/>
        <w:textAlignment w:val="auto"/>
        <w:rPr>
          <w:b w:val="0"/>
          <w:bCs w:val="0"/>
          <w:i w:val="0"/>
          <w:iCs w:val="0"/>
          <w:highlight w:val="none"/>
        </w:rPr>
      </w:pPr>
      <w:bookmarkStart w:id="473" w:name="_Toc247514026"/>
      <w:bookmarkStart w:id="474" w:name="_Toc152045602"/>
      <w:bookmarkStart w:id="475" w:name="_Toc247527627"/>
      <w:bookmarkStart w:id="476" w:name="_Toc152042379"/>
      <w:bookmarkStart w:id="477" w:name="_Toc144974569"/>
      <w:r>
        <w:rPr>
          <w:rFonts w:hint="eastAsia" w:ascii="Times New Roman" w:hAnsi="Times New Roman"/>
          <w:b w:val="0"/>
          <w:bCs w:val="0"/>
          <w:i w:val="0"/>
          <w:iCs w:val="0"/>
          <w:highlight w:val="none"/>
        </w:rPr>
        <w:t>2.1</w:t>
      </w:r>
      <w:r>
        <w:rPr>
          <w:rFonts w:hint="eastAsia"/>
          <w:b w:val="0"/>
          <w:bCs w:val="0"/>
          <w:i w:val="0"/>
          <w:iCs w:val="0"/>
          <w:highlight w:val="none"/>
        </w:rPr>
        <w:t xml:space="preserve"> 初步评审标准</w:t>
      </w:r>
      <w:bookmarkEnd w:id="473"/>
      <w:bookmarkEnd w:id="474"/>
      <w:bookmarkEnd w:id="475"/>
      <w:bookmarkEnd w:id="476"/>
      <w:bookmarkEnd w:id="477"/>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2.1.1 形式评审标准：见评标办法前附表。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2.1.2 资格评审标准：见评标办法前附表。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2.1.3 响应性评审标准：见评标办法前附表。</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478" w:name="_Toc152042380"/>
      <w:bookmarkStart w:id="479" w:name="_Toc144974570"/>
      <w:bookmarkStart w:id="480" w:name="_Toc247514027"/>
      <w:bookmarkStart w:id="481" w:name="_Toc247527628"/>
      <w:bookmarkStart w:id="482" w:name="_Toc152045603"/>
      <w:r>
        <w:rPr>
          <w:rFonts w:hint="eastAsia" w:ascii="Times New Roman" w:hAnsi="Times New Roman"/>
          <w:i w:val="0"/>
          <w:iCs w:val="0"/>
          <w:highlight w:val="none"/>
        </w:rPr>
        <w:t>2.2</w:t>
      </w:r>
      <w:r>
        <w:rPr>
          <w:rFonts w:hint="eastAsia"/>
          <w:i w:val="0"/>
          <w:iCs w:val="0"/>
          <w:highlight w:val="none"/>
        </w:rPr>
        <w:t xml:space="preserve"> 分值构成与评分标准</w:t>
      </w:r>
      <w:bookmarkEnd w:id="478"/>
      <w:bookmarkEnd w:id="479"/>
      <w:bookmarkEnd w:id="480"/>
      <w:bookmarkEnd w:id="481"/>
      <w:bookmarkEnd w:id="482"/>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2.2.1 分值构成</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（1）资信业绩部分：见评标办法前附表；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（2）投标报价：见评标办法前附表；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（3）其他评分因素：见评标办法前附表；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（4）承包人建议书：见评标办法前附表；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（5）承包人项目管理实施方案：见评标办法前附表。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2.2.2 评标基准价计算</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评标基准价计算方法：见评标办法前附表。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2.2.3 投标报价的偏差率计算</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投标报价的偏差率计算公式：见评标办法前附表。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2.2.4 评分标准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（1）资信业绩评分标准：见评标办法前附表；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（2）投标报价评分标准：见评标办法前附表；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（3）其他因素评分标准：见评标办法前附表；</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（4）承包人建议书评分标准：见评标办法前附表；</w:t>
      </w:r>
    </w:p>
    <w:p>
      <w:pPr>
        <w:pageBreakBefore w:val="0"/>
        <w:widowControl w:val="0"/>
        <w:kinsoku/>
        <w:wordWrap/>
        <w:overflowPunct/>
        <w:topLinePunct w:val="0"/>
        <w:autoSpaceDE/>
        <w:autoSpaceDN/>
        <w:bidi w:val="0"/>
        <w:spacing w:line="400" w:lineRule="exact"/>
        <w:ind w:firstLine="420" w:firstLineChars="200"/>
        <w:textAlignment w:val="auto"/>
        <w:rPr>
          <w:i w:val="0"/>
          <w:iCs w:val="0"/>
          <w:highlight w:val="none"/>
        </w:rPr>
      </w:pPr>
      <w:r>
        <w:rPr>
          <w:rFonts w:hint="eastAsia" w:ascii="仿宋_GB2312" w:hAnsi="仿宋_GB2312" w:eastAsia="仿宋_GB2312" w:cs="仿宋_GB2312"/>
          <w:i w:val="0"/>
          <w:iCs w:val="0"/>
          <w:highlight w:val="none"/>
        </w:rPr>
        <w:t>（5）承包人项目管理实施方案评分标准：见评标办法前附表。</w:t>
      </w:r>
    </w:p>
    <w:p>
      <w:pPr>
        <w:pStyle w:val="3"/>
        <w:pageBreakBefore w:val="0"/>
        <w:widowControl w:val="0"/>
        <w:kinsoku/>
        <w:wordWrap/>
        <w:overflowPunct/>
        <w:topLinePunct w:val="0"/>
        <w:autoSpaceDE/>
        <w:autoSpaceDN/>
        <w:bidi w:val="0"/>
        <w:spacing w:before="0" w:after="0"/>
        <w:textAlignment w:val="auto"/>
        <w:rPr>
          <w:b w:val="0"/>
          <w:bCs w:val="0"/>
          <w:i w:val="0"/>
          <w:iCs w:val="0"/>
          <w:highlight w:val="none"/>
        </w:rPr>
      </w:pPr>
      <w:bookmarkStart w:id="483" w:name="_Toc247514028"/>
      <w:bookmarkStart w:id="484" w:name="_Toc26965"/>
      <w:bookmarkStart w:id="485" w:name="_Toc247527629"/>
      <w:bookmarkStart w:id="486" w:name="_Toc152045604"/>
      <w:bookmarkStart w:id="487" w:name="_Toc152042381"/>
      <w:bookmarkStart w:id="488" w:name="_Toc144974571"/>
      <w:r>
        <w:rPr>
          <w:rFonts w:hint="eastAsia"/>
          <w:b w:val="0"/>
          <w:bCs w:val="0"/>
          <w:i w:val="0"/>
          <w:iCs w:val="0"/>
          <w:highlight w:val="none"/>
        </w:rPr>
        <w:t>3. 评标程序</w:t>
      </w:r>
      <w:bookmarkEnd w:id="483"/>
      <w:bookmarkEnd w:id="484"/>
      <w:bookmarkEnd w:id="485"/>
      <w:bookmarkEnd w:id="486"/>
      <w:bookmarkEnd w:id="487"/>
      <w:bookmarkEnd w:id="488"/>
    </w:p>
    <w:p>
      <w:pPr>
        <w:pStyle w:val="4"/>
        <w:pageBreakBefore w:val="0"/>
        <w:widowControl w:val="0"/>
        <w:kinsoku/>
        <w:wordWrap/>
        <w:overflowPunct/>
        <w:topLinePunct w:val="0"/>
        <w:autoSpaceDE/>
        <w:autoSpaceDN/>
        <w:bidi w:val="0"/>
        <w:spacing w:before="0" w:after="0"/>
        <w:ind w:firstLine="137"/>
        <w:textAlignment w:val="auto"/>
        <w:rPr>
          <w:b w:val="0"/>
          <w:bCs w:val="0"/>
          <w:i w:val="0"/>
          <w:iCs w:val="0"/>
          <w:highlight w:val="none"/>
        </w:rPr>
      </w:pPr>
      <w:bookmarkStart w:id="489" w:name="_Toc247527630"/>
      <w:bookmarkStart w:id="490" w:name="_Toc144974572"/>
      <w:bookmarkStart w:id="491" w:name="_Toc247514029"/>
      <w:bookmarkStart w:id="492" w:name="_Toc152045605"/>
      <w:bookmarkStart w:id="493" w:name="_Toc152042382"/>
      <w:r>
        <w:rPr>
          <w:rFonts w:hint="eastAsia" w:ascii="Times New Roman" w:hAnsi="Times New Roman"/>
          <w:b w:val="0"/>
          <w:bCs w:val="0"/>
          <w:i w:val="0"/>
          <w:iCs w:val="0"/>
          <w:highlight w:val="none"/>
        </w:rPr>
        <w:t>3.1</w:t>
      </w:r>
      <w:r>
        <w:rPr>
          <w:rFonts w:hint="eastAsia"/>
          <w:b w:val="0"/>
          <w:bCs w:val="0"/>
          <w:i w:val="0"/>
          <w:iCs w:val="0"/>
          <w:highlight w:val="none"/>
        </w:rPr>
        <w:t xml:space="preserve"> 初步评审</w:t>
      </w:r>
      <w:bookmarkEnd w:id="489"/>
      <w:bookmarkEnd w:id="490"/>
      <w:bookmarkEnd w:id="491"/>
      <w:bookmarkEnd w:id="492"/>
      <w:bookmarkEnd w:id="493"/>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3.1.1评标委员会依据本章第2.1款规定的标准对投标文件进行初步评审。有一项不符合评审标准的，评标委员会应当否决其投标。（适用于未进行资格预审的）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3.1.1 评标委员会依据本章第2.1.1项、第2.1.3项规定的评审标准对投标文件进行初步评审。有一项不符合评审标准的，评标委员会应当否决其投标。当投标人资格预审申请文件的内容发生重大变化时，评标委员会依据本章第2.1.2项规定的标准对其更新资料进行评审。（适用于已进行资格预审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3.1.2 投标人有以下情形之一的，评标委员会应当否决其投标：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（1）第二章“投标人须知”第1.4.3项、第1.4.4项规定的任何一种情形的；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（2）串通投标或弄虚作假或有其他违法行为的；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（3）不按评标委员会要求澄清、说明或补正的。</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3.1.3 投标报价有算术错误的，评标委员会按以下原则对投标报价进行修正，修正的价格经投标人书面确认后具有约束力。投标人不接受修正价格的，评标委员会应当否决其投标。</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bookmarkStart w:id="494" w:name="_Toc152042383"/>
      <w:r>
        <w:rPr>
          <w:rFonts w:hint="eastAsia" w:ascii="仿宋_GB2312" w:hAnsi="仿宋_GB2312" w:eastAsia="仿宋_GB2312" w:cs="仿宋_GB2312"/>
          <w:i w:val="0"/>
          <w:iCs w:val="0"/>
          <w:highlight w:val="none"/>
        </w:rPr>
        <w:t>（1）投标文件中的大写金额与小写金额不一致的，以大写金额为准；</w:t>
      </w:r>
      <w:bookmarkEnd w:id="494"/>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（2）总价金额与依据单价计算出的结果不一致的，以单价金额为准修正总价，但单价金额小数点有明显错误的除外。</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495" w:name="_Toc152045606"/>
      <w:bookmarkStart w:id="496" w:name="_Toc247514030"/>
      <w:bookmarkStart w:id="497" w:name="_Toc247527631"/>
      <w:bookmarkStart w:id="498" w:name="_Toc144974573"/>
      <w:bookmarkStart w:id="499" w:name="_Toc152042384"/>
      <w:r>
        <w:rPr>
          <w:rFonts w:hint="eastAsia" w:ascii="Times New Roman" w:hAnsi="Times New Roman"/>
          <w:i w:val="0"/>
          <w:iCs w:val="0"/>
          <w:highlight w:val="none"/>
        </w:rPr>
        <w:t>3.2</w:t>
      </w:r>
      <w:r>
        <w:rPr>
          <w:rFonts w:hint="eastAsia"/>
          <w:i w:val="0"/>
          <w:iCs w:val="0"/>
          <w:highlight w:val="none"/>
        </w:rPr>
        <w:t xml:space="preserve"> 详细评审</w:t>
      </w:r>
      <w:bookmarkEnd w:id="495"/>
      <w:bookmarkEnd w:id="496"/>
      <w:bookmarkEnd w:id="497"/>
      <w:bookmarkEnd w:id="498"/>
      <w:bookmarkEnd w:id="499"/>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3.2.1 评标委员会按本章第2.2款规定的量化因素和分值进行打分，并计算出综合评估得分。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（1）按本章第2.2.4（1）目规定的评审因素和分值对资信业绩部分计算出得分A； </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（2）按本章第2.2.4（2）目规定的评审因素和分值对投标报价计算出得分B；</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（3）按本章第2.2.4（3）目规定的评审因素和分值对其他部分计算出得分C；</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（4）按本章第2.2.4（4）目规定的评审因素和分值对承包人建议书计算出得分D；</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（5）按本章第2.2.4（5）目规定的评审因素和分值对承包人项目管理实施方案计算出得分E。</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3.2.2 评分分值计算保留小数点后两位，小数点后第三位“四舍五入”。</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3.2.3 投标人得分=A+B+C+D+E。</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评标委员会应当认定该投标人以低于成本报价竞标，应当否决其投标。</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500" w:name="_Toc144974575"/>
      <w:bookmarkStart w:id="501" w:name="_Toc247514031"/>
      <w:bookmarkStart w:id="502" w:name="_Toc247527632"/>
      <w:bookmarkStart w:id="503" w:name="_Toc152042385"/>
      <w:bookmarkStart w:id="504" w:name="_Toc152045607"/>
      <w:r>
        <w:rPr>
          <w:rFonts w:hint="eastAsia" w:ascii="Times New Roman" w:hAnsi="Times New Roman"/>
          <w:i w:val="0"/>
          <w:iCs w:val="0"/>
          <w:highlight w:val="none"/>
        </w:rPr>
        <w:t>3.3</w:t>
      </w:r>
      <w:r>
        <w:rPr>
          <w:rFonts w:hint="eastAsia"/>
          <w:i w:val="0"/>
          <w:iCs w:val="0"/>
          <w:highlight w:val="none"/>
        </w:rPr>
        <w:t xml:space="preserve"> 投标文件的澄清</w:t>
      </w:r>
      <w:bookmarkEnd w:id="500"/>
      <w:r>
        <w:rPr>
          <w:rFonts w:hint="eastAsia"/>
          <w:i w:val="0"/>
          <w:iCs w:val="0"/>
          <w:highlight w:val="none"/>
        </w:rPr>
        <w:t>和补正</w:t>
      </w:r>
      <w:bookmarkEnd w:id="501"/>
      <w:bookmarkEnd w:id="502"/>
      <w:bookmarkEnd w:id="503"/>
      <w:bookmarkEnd w:id="504"/>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3.3.1 在评标过程中，评标委员会可以书面形式要求投标人对所提交投标文件中不明确的内容进行书面澄清或说明，或者对细微偏差进行补正。评标委员会不接受投标人主动提出的澄清、说明或补正。</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3.3.2 澄清、说明和补正不得改变投标文件的实质性内容。投标人的书面澄清、说明和补正属于投标文件的组成部分。</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3.3.3 评标委员会对投标人提交的澄清、说明或补正有疑问的，可以要求投标人进一步澄清、说明或补正，直至满足评标委员会的要求。</w:t>
      </w:r>
    </w:p>
    <w:p>
      <w:pPr>
        <w:pStyle w:val="4"/>
        <w:pageBreakBefore w:val="0"/>
        <w:widowControl w:val="0"/>
        <w:kinsoku/>
        <w:wordWrap/>
        <w:overflowPunct/>
        <w:topLinePunct w:val="0"/>
        <w:autoSpaceDE/>
        <w:autoSpaceDN/>
        <w:bidi w:val="0"/>
        <w:spacing w:before="0" w:after="0"/>
        <w:ind w:firstLine="137"/>
        <w:textAlignment w:val="auto"/>
        <w:rPr>
          <w:i w:val="0"/>
          <w:iCs w:val="0"/>
          <w:highlight w:val="none"/>
        </w:rPr>
      </w:pPr>
      <w:bookmarkStart w:id="505" w:name="_Toc152042386"/>
      <w:bookmarkStart w:id="506" w:name="_Toc247527633"/>
      <w:bookmarkStart w:id="507" w:name="_Toc152045608"/>
      <w:bookmarkStart w:id="508" w:name="_Toc247514032"/>
      <w:bookmarkStart w:id="509" w:name="_Toc144974576"/>
      <w:r>
        <w:rPr>
          <w:rFonts w:hint="eastAsia" w:ascii="Times New Roman" w:hAnsi="Times New Roman"/>
          <w:i w:val="0"/>
          <w:iCs w:val="0"/>
          <w:highlight w:val="none"/>
        </w:rPr>
        <w:t>3.4</w:t>
      </w:r>
      <w:r>
        <w:rPr>
          <w:rFonts w:hint="eastAsia"/>
          <w:i w:val="0"/>
          <w:iCs w:val="0"/>
          <w:highlight w:val="none"/>
        </w:rPr>
        <w:t xml:space="preserve"> 评标结果</w:t>
      </w:r>
      <w:bookmarkEnd w:id="505"/>
      <w:bookmarkEnd w:id="506"/>
      <w:bookmarkEnd w:id="507"/>
      <w:bookmarkEnd w:id="508"/>
      <w:bookmarkEnd w:id="509"/>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3.4.1 除第二章“投标人须知”前附表授权直接确定中标人外，评标委员会按照得分由高到低的顺序推荐中标候选人。</w:t>
      </w:r>
    </w:p>
    <w:p>
      <w:pPr>
        <w:pageBreakBefore w:val="0"/>
        <w:widowControl w:val="0"/>
        <w:kinsoku/>
        <w:wordWrap/>
        <w:overflowPunct/>
        <w:topLinePunct w:val="0"/>
        <w:autoSpaceDE/>
        <w:autoSpaceDN/>
        <w:bidi w:val="0"/>
        <w:spacing w:line="400" w:lineRule="exact"/>
        <w:ind w:firstLine="420" w:firstLineChars="200"/>
        <w:textAlignment w:val="auto"/>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3.4.2评标完成后，评标委员会应当向招标人提交书面评标报告和中标候选人名单。</w:t>
      </w:r>
    </w:p>
    <w:p>
      <w:pPr>
        <w:keepNext/>
        <w:keepLines/>
        <w:pageBreakBefore w:val="0"/>
        <w:widowControl w:val="0"/>
        <w:kinsoku/>
        <w:wordWrap/>
        <w:overflowPunct/>
        <w:topLinePunct w:val="0"/>
        <w:autoSpaceDE/>
        <w:autoSpaceDN/>
        <w:bidi w:val="0"/>
        <w:adjustRightInd w:val="0"/>
        <w:snapToGrid w:val="0"/>
        <w:spacing w:line="600" w:lineRule="exact"/>
        <w:textAlignment w:val="auto"/>
        <w:outlineLvl w:val="1"/>
        <w:rPr>
          <w:rFonts w:hint="eastAsia" w:ascii="黑体" w:hAnsi="黑体" w:eastAsia="黑体" w:cs="黑体"/>
          <w:b w:val="0"/>
          <w:bCs w:val="0"/>
          <w:i w:val="0"/>
          <w:iCs w:val="0"/>
          <w:highlight w:val="none"/>
        </w:rPr>
      </w:pPr>
      <w:r>
        <w:rPr>
          <w:i w:val="0"/>
          <w:iCs w:val="0"/>
          <w:highlight w:val="none"/>
        </w:rPr>
        <w:br w:type="page"/>
      </w:r>
      <w:bookmarkStart w:id="510" w:name="_Toc30823"/>
      <w:bookmarkStart w:id="511" w:name="_Toc45113788"/>
      <w:bookmarkStart w:id="512" w:name="_Toc34298424"/>
      <w:bookmarkStart w:id="513" w:name="_Toc34294395"/>
      <w:bookmarkStart w:id="514" w:name="_Toc72229764"/>
      <w:bookmarkStart w:id="515" w:name="_Toc6245"/>
      <w:bookmarkStart w:id="516" w:name="_Toc47109064"/>
      <w:bookmarkStart w:id="517" w:name="_Toc31653"/>
      <w:r>
        <w:rPr>
          <w:rFonts w:hint="eastAsia" w:ascii="黑体" w:hAnsi="黑体" w:eastAsia="黑体" w:cs="黑体"/>
          <w:b w:val="0"/>
          <w:bCs w:val="0"/>
          <w:i w:val="0"/>
          <w:iCs w:val="0"/>
          <w:sz w:val="32"/>
          <w:szCs w:val="32"/>
          <w:highlight w:val="none"/>
        </w:rPr>
        <w:t>附件一：暗标评审有关说明</w:t>
      </w:r>
      <w:bookmarkEnd w:id="510"/>
      <w:bookmarkEnd w:id="511"/>
      <w:bookmarkEnd w:id="512"/>
      <w:bookmarkEnd w:id="513"/>
      <w:bookmarkEnd w:id="514"/>
      <w:bookmarkEnd w:id="515"/>
      <w:bookmarkEnd w:id="516"/>
    </w:p>
    <w:p>
      <w:pPr>
        <w:widowControl/>
        <w:spacing w:line="360" w:lineRule="auto"/>
        <w:jc w:val="center"/>
        <w:rPr>
          <w:rFonts w:hint="eastAsia" w:ascii="黑体" w:hAnsi="黑体" w:eastAsia="黑体" w:cs="黑体"/>
          <w:b w:val="0"/>
          <w:bCs w:val="0"/>
          <w:i w:val="0"/>
          <w:iCs w:val="0"/>
          <w:szCs w:val="21"/>
          <w:highlight w:val="none"/>
        </w:rPr>
      </w:pPr>
    </w:p>
    <w:p>
      <w:pPr>
        <w:widowControl/>
        <w:spacing w:line="360" w:lineRule="auto"/>
        <w:jc w:val="center"/>
        <w:rPr>
          <w:rFonts w:hint="eastAsia" w:ascii="黑体" w:hAnsi="黑体" w:eastAsia="黑体" w:cs="黑体"/>
          <w:b w:val="0"/>
          <w:bCs w:val="0"/>
          <w:i w:val="0"/>
          <w:iCs w:val="0"/>
          <w:sz w:val="32"/>
          <w:szCs w:val="32"/>
          <w:highlight w:val="none"/>
        </w:rPr>
      </w:pPr>
      <w:r>
        <w:rPr>
          <w:rFonts w:hint="eastAsia" w:ascii="黑体" w:hAnsi="黑体" w:eastAsia="黑体" w:cs="黑体"/>
          <w:b w:val="0"/>
          <w:bCs w:val="0"/>
          <w:i w:val="0"/>
          <w:iCs w:val="0"/>
          <w:sz w:val="32"/>
          <w:szCs w:val="32"/>
          <w:highlight w:val="none"/>
        </w:rPr>
        <w:t>暗标评审有关说明</w:t>
      </w:r>
    </w:p>
    <w:p>
      <w:pPr>
        <w:widowControl/>
        <w:spacing w:line="360" w:lineRule="auto"/>
        <w:jc w:val="center"/>
        <w:rPr>
          <w:rFonts w:hint="eastAsia" w:ascii="黑体" w:hAnsi="黑体" w:eastAsia="黑体" w:cs="黑体"/>
          <w:b w:val="0"/>
          <w:bCs w:val="0"/>
          <w:i w:val="0"/>
          <w:iCs w:val="0"/>
          <w:szCs w:val="21"/>
          <w:highlight w:val="none"/>
        </w:rPr>
      </w:pPr>
    </w:p>
    <w:p>
      <w:pPr>
        <w:spacing w:line="360" w:lineRule="auto"/>
        <w:ind w:firstLine="420" w:firstLineChars="2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第二章“投标人须知”前附表第3.7.6项要求技术标（</w:t>
      </w:r>
      <w:r>
        <w:rPr>
          <w:rFonts w:hint="eastAsia" w:ascii="仿宋_GB2312" w:hAnsi="仿宋_GB2312" w:eastAsia="仿宋_GB2312" w:cs="仿宋_GB2312"/>
          <w:i w:val="0"/>
          <w:iCs w:val="0"/>
          <w:szCs w:val="21"/>
          <w:highlight w:val="none"/>
        </w:rPr>
        <w:t>承包人建议书、承包人项目管理实施方案评审</w:t>
      </w:r>
      <w:r>
        <w:rPr>
          <w:rFonts w:hint="eastAsia" w:ascii="仿宋_GB2312" w:hAnsi="宋体" w:eastAsia="仿宋_GB2312"/>
          <w:i w:val="0"/>
          <w:iCs w:val="0"/>
          <w:szCs w:val="21"/>
          <w:highlight w:val="none"/>
        </w:rPr>
        <w:t>）采用暗标形式</w:t>
      </w:r>
      <w:r>
        <w:rPr>
          <w:rFonts w:hint="eastAsia" w:ascii="仿宋_GB2312" w:hAnsi="宋体" w:eastAsia="仿宋_GB2312"/>
          <w:i w:val="0"/>
          <w:iCs w:val="0"/>
          <w:szCs w:val="21"/>
          <w:highlight w:val="none"/>
          <w:lang w:val="en-US" w:eastAsia="zh-CN"/>
        </w:rPr>
        <w:t>的</w:t>
      </w:r>
      <w:r>
        <w:rPr>
          <w:rFonts w:hint="eastAsia" w:ascii="仿宋_GB2312" w:hAnsi="宋体" w:eastAsia="仿宋_GB2312"/>
          <w:i w:val="0"/>
          <w:iCs w:val="0"/>
          <w:szCs w:val="21"/>
          <w:highlight w:val="none"/>
        </w:rPr>
        <w:t>，则在评标工作开始前，电子评标辅助系统将随机编制投标文件技术标暗标编号。</w:t>
      </w:r>
    </w:p>
    <w:p>
      <w:pPr>
        <w:spacing w:line="360" w:lineRule="auto"/>
        <w:ind w:firstLine="420" w:firstLineChars="2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在评标委员会完成</w:t>
      </w:r>
      <w:r>
        <w:rPr>
          <w:rFonts w:hint="eastAsia" w:ascii="仿宋_GB2312" w:hAnsi="宋体" w:eastAsia="仿宋_GB2312"/>
          <w:i w:val="0"/>
          <w:iCs w:val="0"/>
          <w:szCs w:val="21"/>
          <w:highlight w:val="none"/>
          <w:lang w:val="en-US" w:eastAsia="zh-CN"/>
        </w:rPr>
        <w:t>全部</w:t>
      </w:r>
      <w:r>
        <w:rPr>
          <w:rFonts w:hint="eastAsia" w:ascii="仿宋_GB2312" w:hAnsi="宋体" w:eastAsia="仿宋_GB2312"/>
          <w:i w:val="0"/>
          <w:iCs w:val="0"/>
          <w:szCs w:val="21"/>
          <w:highlight w:val="none"/>
        </w:rPr>
        <w:t>技术标</w:t>
      </w:r>
      <w:r>
        <w:rPr>
          <w:rFonts w:hint="eastAsia" w:ascii="仿宋_GB2312" w:hAnsi="宋体" w:eastAsia="仿宋_GB2312"/>
          <w:i w:val="0"/>
          <w:iCs w:val="0"/>
          <w:szCs w:val="21"/>
          <w:highlight w:val="none"/>
          <w:lang w:val="en-US" w:eastAsia="zh-CN"/>
        </w:rPr>
        <w:t>详细</w:t>
      </w:r>
      <w:r>
        <w:rPr>
          <w:rFonts w:hint="eastAsia" w:ascii="仿宋_GB2312" w:hAnsi="宋体" w:eastAsia="仿宋_GB2312"/>
          <w:i w:val="0"/>
          <w:iCs w:val="0"/>
          <w:szCs w:val="21"/>
          <w:highlight w:val="none"/>
        </w:rPr>
        <w:t>评审</w:t>
      </w:r>
      <w:r>
        <w:rPr>
          <w:rFonts w:hint="eastAsia" w:ascii="仿宋_GB2312" w:hAnsi="宋体" w:eastAsia="仿宋_GB2312"/>
          <w:i w:val="0"/>
          <w:iCs w:val="0"/>
          <w:szCs w:val="21"/>
          <w:highlight w:val="none"/>
          <w:lang w:val="en-US" w:eastAsia="zh-CN"/>
        </w:rPr>
        <w:t>和商务标详细评审后，</w:t>
      </w:r>
      <w:r>
        <w:rPr>
          <w:rFonts w:hint="eastAsia" w:ascii="仿宋_GB2312" w:hAnsi="宋体" w:eastAsia="仿宋_GB2312"/>
          <w:i w:val="0"/>
          <w:iCs w:val="0"/>
          <w:szCs w:val="21"/>
          <w:highlight w:val="none"/>
        </w:rPr>
        <w:t>方可读取暗标编号记录。由系统自动生成技术暗标编号确认表</w:t>
      </w:r>
      <w:r>
        <w:rPr>
          <w:rFonts w:hint="eastAsia" w:ascii="仿宋_GB2312" w:hAnsi="宋体" w:eastAsia="仿宋_GB2312"/>
          <w:i w:val="0"/>
          <w:iCs w:val="0"/>
          <w:szCs w:val="21"/>
          <w:highlight w:val="none"/>
          <w:lang w:eastAsia="zh-CN"/>
        </w:rPr>
        <w:t>，</w:t>
      </w:r>
      <w:r>
        <w:rPr>
          <w:rFonts w:hint="eastAsia" w:ascii="仿宋_GB2312" w:hAnsi="宋体" w:eastAsia="仿宋_GB2312"/>
          <w:i w:val="0"/>
          <w:iCs w:val="0"/>
          <w:szCs w:val="21"/>
          <w:highlight w:val="none"/>
          <w:lang w:val="en-US" w:eastAsia="zh-CN"/>
        </w:rPr>
        <w:t>并</w:t>
      </w:r>
      <w:r>
        <w:rPr>
          <w:rFonts w:hint="eastAsia" w:ascii="仿宋_GB2312" w:hAnsi="宋体" w:eastAsia="仿宋_GB2312"/>
          <w:i w:val="0"/>
          <w:iCs w:val="0"/>
          <w:szCs w:val="21"/>
          <w:highlight w:val="none"/>
        </w:rPr>
        <w:t>根据投标人与暗标编号的对应关系，汇总投标人的评审结果。</w:t>
      </w:r>
    </w:p>
    <w:p>
      <w:pPr>
        <w:spacing w:line="360" w:lineRule="auto"/>
        <w:ind w:firstLine="420" w:firstLineChars="200"/>
        <w:rPr>
          <w:rFonts w:hint="eastAsia" w:ascii="仿宋_GB2312" w:hAnsi="宋体" w:eastAsia="仿宋_GB2312"/>
          <w:i w:val="0"/>
          <w:iCs w:val="0"/>
          <w:szCs w:val="21"/>
          <w:highlight w:val="none"/>
        </w:rPr>
      </w:pPr>
    </w:p>
    <w:p>
      <w:pPr>
        <w:pStyle w:val="3"/>
        <w:spacing w:before="120" w:after="120" w:line="600" w:lineRule="exact"/>
        <w:rPr>
          <w:rFonts w:ascii="宋体" w:hAnsi="宋体" w:eastAsia="宋体"/>
          <w:i w:val="0"/>
          <w:iCs w:val="0"/>
          <w:highlight w:val="none"/>
        </w:rPr>
      </w:pPr>
      <w:r>
        <w:rPr>
          <w:rFonts w:ascii="Times New Roman" w:hAnsi="Times New Roman" w:eastAsia="宋体"/>
          <w:i w:val="0"/>
          <w:iCs w:val="0"/>
          <w:highlight w:val="none"/>
        </w:rPr>
        <w:br w:type="page"/>
      </w:r>
      <w:bookmarkStart w:id="518" w:name="_Toc3677"/>
      <w:r>
        <w:rPr>
          <w:rFonts w:hint="eastAsia" w:ascii="仿宋_GB2312" w:hAnsi="仿宋_GB2312" w:eastAsia="仿宋_GB2312" w:cs="仿宋_GB2312"/>
          <w:b w:val="0"/>
          <w:bCs w:val="0"/>
          <w:i w:val="0"/>
          <w:iCs w:val="0"/>
          <w:sz w:val="28"/>
          <w:szCs w:val="28"/>
          <w:highlight w:val="none"/>
        </w:rPr>
        <w:t>附件二： 询标函</w:t>
      </w:r>
      <w:bookmarkEnd w:id="517"/>
      <w:bookmarkEnd w:id="518"/>
    </w:p>
    <w:tbl>
      <w:tblPr>
        <w:tblStyle w:val="41"/>
        <w:tblW w:w="9089" w:type="dxa"/>
        <w:tblInd w:w="93" w:type="dxa"/>
        <w:tblLayout w:type="fixed"/>
        <w:tblCellMar>
          <w:top w:w="0" w:type="dxa"/>
          <w:left w:w="108" w:type="dxa"/>
          <w:bottom w:w="0" w:type="dxa"/>
          <w:right w:w="108" w:type="dxa"/>
        </w:tblCellMar>
      </w:tblPr>
      <w:tblGrid>
        <w:gridCol w:w="1291"/>
        <w:gridCol w:w="7798"/>
      </w:tblGrid>
      <w:tr>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pPr>
              <w:widowControl/>
              <w:jc w:val="center"/>
              <w:rPr>
                <w:rFonts w:hint="eastAsia" w:ascii="仿宋_GB2312" w:hAnsi="仿宋_GB2312" w:eastAsia="仿宋_GB2312" w:cs="仿宋_GB2312"/>
                <w:b w:val="0"/>
                <w:bCs w:val="0"/>
                <w:i w:val="0"/>
                <w:iCs w:val="0"/>
                <w:kern w:val="0"/>
                <w:sz w:val="18"/>
                <w:szCs w:val="18"/>
                <w:highlight w:val="none"/>
              </w:rPr>
            </w:pPr>
            <w:r>
              <w:rPr>
                <w:rFonts w:hint="eastAsia" w:ascii="黑体" w:hAnsi="黑体" w:eastAsia="黑体" w:cs="黑体"/>
                <w:b w:val="0"/>
                <w:bCs w:val="0"/>
                <w:i w:val="0"/>
                <w:iCs w:val="0"/>
                <w:kern w:val="0"/>
                <w:sz w:val="44"/>
                <w:szCs w:val="44"/>
                <w:highlight w:val="none"/>
              </w:rPr>
              <w:t>询   标   函</w:t>
            </w:r>
          </w:p>
          <w:p>
            <w:pPr>
              <w:widowControl/>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项目（标段）名称：                       项目（标段）编号：</w:t>
            </w:r>
          </w:p>
          <w:p>
            <w:pPr>
              <w:widowControl/>
              <w:rPr>
                <w:rFonts w:hint="eastAsia" w:ascii="仿宋_GB2312" w:hAnsi="仿宋_GB2312" w:eastAsia="仿宋_GB2312" w:cs="仿宋_GB2312"/>
                <w:i w:val="0"/>
                <w:iCs w:val="0"/>
                <w:kern w:val="0"/>
                <w:sz w:val="18"/>
                <w:szCs w:val="18"/>
                <w:highlight w:val="none"/>
              </w:rPr>
            </w:pPr>
          </w:p>
          <w:p>
            <w:pPr>
              <w:widowControl/>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日期：</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年</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月</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询 标 内 容</w:t>
            </w:r>
          </w:p>
        </w:tc>
        <w:tc>
          <w:tcPr>
            <w:tcW w:w="7798" w:type="dxa"/>
            <w:tcBorders>
              <w:top w:val="single" w:color="auto" w:sz="4" w:space="0"/>
              <w:left w:val="nil"/>
              <w:bottom w:val="nil"/>
              <w:right w:val="single" w:color="000000" w:sz="4" w:space="0"/>
            </w:tcBorders>
            <w:noWrap w:val="0"/>
            <w:vAlign w:val="top"/>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单位名称：</w:t>
            </w:r>
            <w:r>
              <w:rPr>
                <w:rFonts w:hint="eastAsia" w:ascii="仿宋_GB2312" w:hAnsi="仿宋_GB2312" w:eastAsia="仿宋_GB2312" w:cs="仿宋_GB2312"/>
                <w:i w:val="0"/>
                <w:iCs w:val="0"/>
                <w:kern w:val="0"/>
                <w:sz w:val="18"/>
                <w:szCs w:val="18"/>
                <w:highlight w:val="none"/>
              </w:rPr>
              <w:br w:type="textWrapping"/>
            </w:r>
            <w:r>
              <w:rPr>
                <w:rFonts w:hint="eastAsia" w:ascii="仿宋_GB2312" w:hAnsi="仿宋_GB2312" w:eastAsia="仿宋_GB2312" w:cs="仿宋_GB2312"/>
                <w:i w:val="0"/>
                <w:iCs w:val="0"/>
                <w:kern w:val="0"/>
                <w:sz w:val="18"/>
                <w:szCs w:val="18"/>
                <w:highlight w:val="none"/>
              </w:rPr>
              <w:br w:type="textWrapping"/>
            </w:r>
            <w:r>
              <w:rPr>
                <w:rFonts w:hint="eastAsia" w:ascii="仿宋_GB2312" w:hAnsi="仿宋_GB2312" w:eastAsia="仿宋_GB2312" w:cs="仿宋_GB2312"/>
                <w:i w:val="0"/>
                <w:iCs w:val="0"/>
                <w:kern w:val="0"/>
                <w:sz w:val="18"/>
                <w:szCs w:val="18"/>
                <w:highlight w:val="none"/>
              </w:rPr>
              <w:t>询标内容：</w:t>
            </w:r>
          </w:p>
        </w:tc>
      </w:tr>
      <w:tr>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pPr>
              <w:widowControl/>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监督员签章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_GB2312" w:eastAsia="仿宋_GB2312" w:cs="仿宋_GB2312"/>
                <w:i w:val="0"/>
                <w:iCs w:val="0"/>
                <w:kern w:val="0"/>
                <w:sz w:val="18"/>
                <w:szCs w:val="18"/>
                <w:highlight w:val="none"/>
              </w:rPr>
            </w:pPr>
          </w:p>
        </w:tc>
      </w:tr>
    </w:tbl>
    <w:p>
      <w:pPr>
        <w:autoSpaceDE w:val="0"/>
        <w:autoSpaceDN w:val="0"/>
        <w:adjustRightInd w:val="0"/>
        <w:spacing w:line="400" w:lineRule="exact"/>
        <w:jc w:val="left"/>
        <w:rPr>
          <w:rFonts w:ascii="_x000B__x000C_" w:hAnsi="_x000B__x000C_"/>
          <w:i w:val="0"/>
          <w:iCs w:val="0"/>
          <w:kern w:val="0"/>
          <w:szCs w:val="21"/>
          <w:highlight w:val="none"/>
        </w:rPr>
      </w:pPr>
    </w:p>
    <w:p>
      <w:pPr>
        <w:keepNext/>
        <w:keepLines/>
        <w:adjustRightInd w:val="0"/>
        <w:snapToGrid w:val="0"/>
        <w:spacing w:before="120" w:beforeLines="50" w:after="120" w:afterLines="50" w:line="600" w:lineRule="exact"/>
        <w:outlineLvl w:val="1"/>
        <w:rPr>
          <w:rFonts w:ascii="宋体" w:hAnsi="宋体"/>
          <w:b/>
          <w:bCs/>
          <w:i w:val="0"/>
          <w:iCs w:val="0"/>
          <w:sz w:val="32"/>
          <w:szCs w:val="32"/>
          <w:highlight w:val="none"/>
        </w:rPr>
      </w:pPr>
      <w:r>
        <w:rPr>
          <w:rFonts w:ascii="_x000B__x000C_" w:hAnsi="_x000B__x000C_"/>
          <w:b/>
          <w:bCs/>
          <w:i w:val="0"/>
          <w:iCs w:val="0"/>
          <w:kern w:val="0"/>
          <w:sz w:val="32"/>
          <w:szCs w:val="21"/>
          <w:highlight w:val="none"/>
        </w:rPr>
        <w:br w:type="page"/>
      </w:r>
      <w:bookmarkStart w:id="519" w:name="_Toc5675"/>
      <w:bookmarkStart w:id="520" w:name="_Toc15986"/>
      <w:r>
        <w:rPr>
          <w:rFonts w:hint="eastAsia" w:ascii="仿宋_GB2312" w:hAnsi="仿宋_GB2312" w:eastAsia="仿宋_GB2312" w:cs="仿宋_GB2312"/>
          <w:b w:val="0"/>
          <w:bCs w:val="0"/>
          <w:i w:val="0"/>
          <w:iCs w:val="0"/>
          <w:sz w:val="28"/>
          <w:szCs w:val="28"/>
          <w:highlight w:val="none"/>
        </w:rPr>
        <w:t>附件三： 询标回复函</w:t>
      </w:r>
      <w:bookmarkEnd w:id="519"/>
      <w:bookmarkEnd w:id="520"/>
    </w:p>
    <w:tbl>
      <w:tblPr>
        <w:tblStyle w:val="41"/>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pPr>
              <w:widowControl/>
              <w:jc w:val="center"/>
              <w:rPr>
                <w:rFonts w:hint="eastAsia" w:ascii="黑体" w:hAnsi="黑体" w:eastAsia="黑体" w:cs="宋体"/>
                <w:b/>
                <w:bCs/>
                <w:i w:val="0"/>
                <w:iCs w:val="0"/>
                <w:kern w:val="0"/>
                <w:sz w:val="44"/>
                <w:szCs w:val="44"/>
                <w:highlight w:val="none"/>
              </w:rPr>
            </w:pPr>
            <w:r>
              <w:rPr>
                <w:rFonts w:hint="eastAsia" w:ascii="黑体" w:hAnsi="黑体" w:eastAsia="黑体" w:cs="宋体"/>
                <w:b w:val="0"/>
                <w:bCs w:val="0"/>
                <w:i w:val="0"/>
                <w:iCs w:val="0"/>
                <w:kern w:val="0"/>
                <w:sz w:val="44"/>
                <w:szCs w:val="44"/>
                <w:highlight w:val="none"/>
              </w:rPr>
              <w:t>询标回复函</w:t>
            </w:r>
          </w:p>
          <w:p>
            <w:pPr>
              <w:widowControl/>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项目（标段）名称：                       项目（标段）编号：</w:t>
            </w:r>
          </w:p>
          <w:p>
            <w:pPr>
              <w:widowControl/>
              <w:rPr>
                <w:rFonts w:hint="eastAsia" w:ascii="仿宋_GB2312" w:hAnsi="仿宋_GB2312" w:eastAsia="仿宋_GB2312" w:cs="仿宋_GB2312"/>
                <w:i w:val="0"/>
                <w:iCs w:val="0"/>
                <w:kern w:val="0"/>
                <w:sz w:val="18"/>
                <w:szCs w:val="18"/>
                <w:highlight w:val="none"/>
              </w:rPr>
            </w:pPr>
          </w:p>
          <w:p>
            <w:pPr>
              <w:widowControl/>
              <w:rPr>
                <w:rFonts w:ascii="黑体" w:hAnsi="黑体" w:eastAsia="黑体" w:cs="宋体"/>
                <w:b/>
                <w:bCs/>
                <w:i w:val="0"/>
                <w:iCs w:val="0"/>
                <w:kern w:val="0"/>
                <w:sz w:val="48"/>
                <w:szCs w:val="48"/>
                <w:highlight w:val="none"/>
              </w:rPr>
            </w:pPr>
            <w:r>
              <w:rPr>
                <w:rFonts w:hint="eastAsia" w:ascii="仿宋_GB2312" w:hAnsi="仿宋_GB2312" w:eastAsia="仿宋_GB2312" w:cs="仿宋_GB2312"/>
                <w:i w:val="0"/>
                <w:iCs w:val="0"/>
                <w:kern w:val="0"/>
                <w:sz w:val="18"/>
                <w:szCs w:val="18"/>
                <w:highlight w:val="none"/>
              </w:rPr>
              <w:t>日期：</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年</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月</w:t>
            </w:r>
            <w:r>
              <w:rPr>
                <w:rFonts w:hint="eastAsia" w:ascii="仿宋_GB2312" w:hAnsi="仿宋_GB2312" w:eastAsia="仿宋_GB2312" w:cs="仿宋_GB2312"/>
                <w:i w:val="0"/>
                <w:iCs w:val="0"/>
                <w:kern w:val="0"/>
                <w:sz w:val="18"/>
                <w:szCs w:val="18"/>
                <w:highlight w:val="none"/>
                <w:u w:val="single"/>
              </w:rPr>
              <w:t xml:space="preserve">    </w:t>
            </w:r>
            <w:r>
              <w:rPr>
                <w:rFonts w:hint="eastAsia" w:ascii="仿宋_GB2312" w:hAnsi="仿宋_GB2312" w:eastAsia="仿宋_GB2312" w:cs="仿宋_GB2312"/>
                <w:i w:val="0"/>
                <w:iCs w:val="0"/>
                <w:kern w:val="0"/>
                <w:sz w:val="18"/>
                <w:szCs w:val="18"/>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询 标 内 容</w:t>
            </w:r>
          </w:p>
        </w:tc>
        <w:tc>
          <w:tcPr>
            <w:tcW w:w="7798" w:type="dxa"/>
            <w:gridSpan w:val="5"/>
            <w:tcBorders>
              <w:top w:val="single" w:color="auto" w:sz="4" w:space="0"/>
              <w:left w:val="nil"/>
              <w:bottom w:val="nil"/>
              <w:right w:val="single" w:color="000000" w:sz="4" w:space="0"/>
            </w:tcBorders>
            <w:noWrap w:val="0"/>
            <w:vAlign w:val="top"/>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单位名称：</w:t>
            </w:r>
            <w:r>
              <w:rPr>
                <w:rFonts w:hint="eastAsia" w:ascii="仿宋_GB2312" w:hAnsi="仿宋_GB2312" w:eastAsia="仿宋_GB2312" w:cs="仿宋_GB2312"/>
                <w:i w:val="0"/>
                <w:iCs w:val="0"/>
                <w:kern w:val="0"/>
                <w:sz w:val="18"/>
                <w:szCs w:val="18"/>
                <w:highlight w:val="none"/>
              </w:rPr>
              <w:br w:type="textWrapping"/>
            </w:r>
            <w:r>
              <w:rPr>
                <w:rFonts w:hint="eastAsia" w:ascii="仿宋_GB2312" w:hAnsi="仿宋_GB2312" w:eastAsia="仿宋_GB2312" w:cs="仿宋_GB2312"/>
                <w:i w:val="0"/>
                <w:iCs w:val="0"/>
                <w:kern w:val="0"/>
                <w:sz w:val="18"/>
                <w:szCs w:val="18"/>
                <w:highlight w:val="none"/>
              </w:rPr>
              <w:br w:type="textWrapping"/>
            </w:r>
            <w:r>
              <w:rPr>
                <w:rFonts w:hint="eastAsia" w:ascii="仿宋_GB2312" w:hAnsi="仿宋_GB2312" w:eastAsia="仿宋_GB2312" w:cs="仿宋_GB2312"/>
                <w:i w:val="0"/>
                <w:iCs w:val="0"/>
                <w:kern w:val="0"/>
                <w:sz w:val="18"/>
                <w:szCs w:val="18"/>
                <w:highlight w:val="none"/>
              </w:rPr>
              <w:t>询标内容：</w:t>
            </w:r>
          </w:p>
        </w:tc>
      </w:tr>
      <w:tr>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w:t>
            </w:r>
          </w:p>
        </w:tc>
      </w:tr>
      <w:tr>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0"/>
            <w:vAlign w:val="center"/>
          </w:tcPr>
          <w:p>
            <w:pPr>
              <w:widowControl/>
              <w:jc w:val="left"/>
              <w:rPr>
                <w:rFonts w:hint="eastAsia" w:ascii="仿宋_GB2312" w:hAnsi="仿宋_GB2312" w:eastAsia="仿宋_GB2312" w:cs="仿宋_GB2312"/>
                <w:i w:val="0"/>
                <w:iCs w:val="0"/>
                <w:kern w:val="0"/>
                <w:sz w:val="18"/>
                <w:szCs w:val="18"/>
                <w:highlight w:val="none"/>
              </w:rPr>
            </w:pPr>
          </w:p>
        </w:tc>
        <w:tc>
          <w:tcPr>
            <w:tcW w:w="1832" w:type="dxa"/>
            <w:tcBorders>
              <w:top w:val="nil"/>
              <w:left w:val="single" w:color="auto" w:sz="4" w:space="0"/>
              <w:bottom w:val="nil"/>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投标单位：</w:t>
            </w:r>
          </w:p>
        </w:tc>
        <w:tc>
          <w:tcPr>
            <w:tcW w:w="1041" w:type="dxa"/>
            <w:tcBorders>
              <w:top w:val="nil"/>
              <w:left w:val="nil"/>
              <w:bottom w:val="nil"/>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1041" w:type="dxa"/>
            <w:tcBorders>
              <w:top w:val="nil"/>
              <w:left w:val="nil"/>
              <w:bottom w:val="nil"/>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1041" w:type="dxa"/>
            <w:tcBorders>
              <w:top w:val="nil"/>
              <w:left w:val="nil"/>
              <w:bottom w:val="nil"/>
              <w:right w:val="nil"/>
            </w:tcBorders>
            <w:noWrap/>
            <w:vAlign w:val="center"/>
          </w:tcPr>
          <w:p>
            <w:pPr>
              <w:widowControl/>
              <w:jc w:val="left"/>
              <w:rPr>
                <w:rFonts w:hint="eastAsia" w:ascii="仿宋_GB2312" w:hAnsi="仿宋_GB2312" w:eastAsia="仿宋_GB2312" w:cs="仿宋_GB2312"/>
                <w:i w:val="0"/>
                <w:iCs w:val="0"/>
                <w:kern w:val="0"/>
                <w:sz w:val="18"/>
                <w:szCs w:val="18"/>
                <w:highlight w:val="none"/>
              </w:rPr>
            </w:pPr>
          </w:p>
        </w:tc>
        <w:tc>
          <w:tcPr>
            <w:tcW w:w="2843" w:type="dxa"/>
            <w:vMerge w:val="restart"/>
            <w:tcBorders>
              <w:top w:val="nil"/>
              <w:left w:val="nil"/>
              <w:right w:val="single" w:color="auto" w:sz="4" w:space="0"/>
            </w:tcBorders>
            <w:noWrap/>
            <w:vAlign w:val="center"/>
          </w:tcPr>
          <w:p>
            <w:pPr>
              <w:widowControl/>
              <w:jc w:val="lef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snapToGrid w:val="0"/>
                <w:kern w:val="0"/>
                <w:sz w:val="18"/>
                <w:szCs w:val="18"/>
                <w:highlight w:val="none"/>
                <w:shd w:val="clear" w:color="auto" w:fill="FFFFFF"/>
              </w:rPr>
              <w:t>加盖投标人单位电子印章或法定代表人的个人电子印章/电子签名章</w:t>
            </w:r>
            <w:r>
              <w:rPr>
                <w:rFonts w:hint="eastAsia" w:ascii="仿宋_GB2312" w:hAnsi="仿宋_GB2312" w:eastAsia="仿宋_GB2312" w:cs="仿宋_GB2312"/>
                <w:i w:val="0"/>
                <w:iCs w:val="0"/>
                <w:kern w:val="0"/>
                <w:sz w:val="18"/>
                <w:szCs w:val="18"/>
                <w:highlight w:val="none"/>
              </w:rPr>
              <w:t>　</w:t>
            </w:r>
          </w:p>
        </w:tc>
      </w:tr>
      <w:tr>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0"/>
            <w:vAlign w:val="center"/>
          </w:tcPr>
          <w:p>
            <w:pPr>
              <w:widowControl/>
              <w:jc w:val="left"/>
              <w:rPr>
                <w:rFonts w:ascii="宋体" w:hAnsi="宋体" w:cs="宋体"/>
                <w:i w:val="0"/>
                <w:iCs w:val="0"/>
                <w:kern w:val="0"/>
                <w:sz w:val="24"/>
                <w:highlight w:val="none"/>
              </w:rPr>
            </w:pPr>
          </w:p>
        </w:tc>
        <w:tc>
          <w:tcPr>
            <w:tcW w:w="2873" w:type="dxa"/>
            <w:gridSpan w:val="2"/>
            <w:tcBorders>
              <w:top w:val="nil"/>
              <w:left w:val="single" w:color="auto" w:sz="4" w:space="0"/>
              <w:bottom w:val="single" w:color="auto" w:sz="4" w:space="0"/>
              <w:right w:val="nil"/>
            </w:tcBorders>
            <w:noWrap/>
            <w:vAlign w:val="center"/>
          </w:tcPr>
          <w:p>
            <w:pPr>
              <w:widowControl/>
              <w:jc w:val="left"/>
              <w:rPr>
                <w:rFonts w:ascii="宋体" w:hAnsi="宋体" w:cs="宋体"/>
                <w:i w:val="0"/>
                <w:iCs w:val="0"/>
                <w:kern w:val="0"/>
                <w:sz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i w:val="0"/>
                <w:iCs w:val="0"/>
                <w:kern w:val="0"/>
                <w:sz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i w:val="0"/>
                <w:iCs w:val="0"/>
                <w:kern w:val="0"/>
                <w:sz w:val="24"/>
                <w:highlight w:val="none"/>
              </w:rPr>
            </w:pPr>
          </w:p>
        </w:tc>
        <w:tc>
          <w:tcPr>
            <w:tcW w:w="2843" w:type="dxa"/>
            <w:vMerge w:val="continue"/>
            <w:tcBorders>
              <w:left w:val="nil"/>
              <w:bottom w:val="single" w:color="auto" w:sz="4" w:space="0"/>
              <w:right w:val="single" w:color="auto" w:sz="4" w:space="0"/>
            </w:tcBorders>
            <w:noWrap/>
            <w:vAlign w:val="center"/>
          </w:tcPr>
          <w:p>
            <w:pPr>
              <w:widowControl/>
              <w:jc w:val="left"/>
              <w:rPr>
                <w:rFonts w:ascii="宋体" w:hAnsi="宋体" w:cs="宋体"/>
                <w:i w:val="0"/>
                <w:iCs w:val="0"/>
                <w:kern w:val="0"/>
                <w:sz w:val="24"/>
                <w:highlight w:val="none"/>
              </w:rPr>
            </w:pPr>
          </w:p>
        </w:tc>
      </w:tr>
    </w:tbl>
    <w:p>
      <w:pPr>
        <w:autoSpaceDE w:val="0"/>
        <w:autoSpaceDN w:val="0"/>
        <w:adjustRightInd w:val="0"/>
        <w:spacing w:line="400" w:lineRule="exact"/>
        <w:jc w:val="left"/>
        <w:rPr>
          <w:rFonts w:ascii="_x000B__x000C_" w:hAnsi="_x000B__x000C_"/>
          <w:i w:val="0"/>
          <w:iCs w:val="0"/>
          <w:kern w:val="0"/>
          <w:szCs w:val="21"/>
          <w:highlight w:val="none"/>
        </w:rPr>
      </w:pPr>
    </w:p>
    <w:p>
      <w:pPr>
        <w:rPr>
          <w:i w:val="0"/>
          <w:iCs w:val="0"/>
          <w:highlight w:val="none"/>
        </w:rPr>
      </w:pPr>
      <w:r>
        <w:rPr>
          <w:i w:val="0"/>
          <w:iCs w:val="0"/>
          <w:highlight w:val="none"/>
        </w:rPr>
        <w:br w:type="page"/>
      </w:r>
    </w:p>
    <w:p>
      <w:pPr>
        <w:pStyle w:val="2"/>
        <w:jc w:val="center"/>
        <w:rPr>
          <w:i w:val="0"/>
          <w:iCs w:val="0"/>
          <w:highlight w:val="none"/>
        </w:rPr>
      </w:pPr>
      <w:bookmarkStart w:id="521" w:name="_Toc152042387"/>
      <w:bookmarkStart w:id="522" w:name="_Toc144974577"/>
      <w:bookmarkStart w:id="523" w:name="_Toc247527634"/>
      <w:bookmarkStart w:id="524" w:name="_Toc10276"/>
      <w:bookmarkStart w:id="525" w:name="_Toc152045609"/>
      <w:bookmarkStart w:id="526" w:name="_Toc247514033"/>
      <w:r>
        <w:rPr>
          <w:rFonts w:hint="eastAsia" w:ascii="黑体" w:hAnsi="黑体" w:eastAsia="黑体" w:cs="黑体"/>
          <w:b w:val="0"/>
          <w:bCs w:val="0"/>
          <w:i w:val="0"/>
          <w:iCs w:val="0"/>
          <w:highlight w:val="none"/>
        </w:rPr>
        <w:t>第四章 合同条款及格式</w:t>
      </w:r>
      <w:bookmarkEnd w:id="521"/>
      <w:bookmarkEnd w:id="522"/>
      <w:bookmarkEnd w:id="523"/>
      <w:bookmarkEnd w:id="524"/>
      <w:bookmarkEnd w:id="525"/>
      <w:bookmarkEnd w:id="526"/>
      <w:bookmarkStart w:id="527" w:name="_Toc184635097"/>
      <w:bookmarkStart w:id="528" w:name="_Toc152045610"/>
      <w:bookmarkStart w:id="529" w:name="_Toc247527635"/>
      <w:bookmarkStart w:id="530" w:name="_Toc247514034"/>
      <w:bookmarkStart w:id="531" w:name="_Toc152042388"/>
      <w:bookmarkStart w:id="532" w:name="_Toc144974578"/>
    </w:p>
    <w:p>
      <w:pPr>
        <w:spacing w:line="360" w:lineRule="auto"/>
        <w:ind w:firstLine="421" w:firstLineChars="200"/>
        <w:rPr>
          <w:rFonts w:hint="eastAsia" w:ascii="仿宋_GB2312" w:hAnsi="仿宋_GB2312" w:eastAsia="仿宋_GB2312" w:cs="仿宋_GB2312"/>
          <w:b/>
          <w:bCs w:val="0"/>
          <w:i w:val="0"/>
          <w:iCs w:val="0"/>
          <w:szCs w:val="21"/>
          <w:highlight w:val="none"/>
        </w:rPr>
      </w:pPr>
      <w:r>
        <w:rPr>
          <w:rFonts w:hint="eastAsia" w:ascii="仿宋_GB2312" w:hAnsi="仿宋_GB2312" w:eastAsia="仿宋_GB2312" w:cs="仿宋_GB2312"/>
          <w:b/>
          <w:bCs w:val="0"/>
          <w:i w:val="0"/>
          <w:iCs w:val="0"/>
          <w:szCs w:val="21"/>
          <w:highlight w:val="none"/>
        </w:rPr>
        <w:t>全文引用《中华人民共和国标准设计施工总承包招标文件》（2012年版）通用合同条款</w:t>
      </w:r>
      <w:r>
        <w:rPr>
          <w:rFonts w:hint="eastAsia" w:ascii="仿宋_GB2312" w:hAnsi="仿宋_GB2312" w:eastAsia="仿宋_GB2312" w:cs="仿宋_GB2312"/>
          <w:b/>
          <w:bCs w:val="0"/>
          <w:i w:val="0"/>
          <w:iCs w:val="0"/>
          <w:szCs w:val="21"/>
          <w:highlight w:val="none"/>
          <w:lang w:eastAsia="zh-CN"/>
        </w:rPr>
        <w:t>，</w:t>
      </w:r>
      <w:r>
        <w:rPr>
          <w:rFonts w:hint="eastAsia" w:ascii="仿宋_GB2312" w:hAnsi="仿宋_GB2312" w:eastAsia="仿宋_GB2312" w:cs="仿宋_GB2312"/>
          <w:b/>
          <w:sz w:val="21"/>
          <w:szCs w:val="21"/>
          <w:highlight w:val="none"/>
          <w:lang w:val="en-US" w:eastAsia="zh-CN"/>
        </w:rPr>
        <w:t>具体合同条款由发包人根据实际情况进行制定</w:t>
      </w:r>
      <w:r>
        <w:rPr>
          <w:rFonts w:hint="eastAsia" w:ascii="仿宋_GB2312" w:hAnsi="仿宋_GB2312" w:eastAsia="仿宋_GB2312" w:cs="仿宋_GB2312"/>
          <w:b/>
          <w:bCs w:val="0"/>
          <w:i w:val="0"/>
          <w:iCs w:val="0"/>
          <w:szCs w:val="21"/>
          <w:highlight w:val="none"/>
        </w:rPr>
        <w:t>。</w:t>
      </w:r>
    </w:p>
    <w:bookmarkEnd w:id="527"/>
    <w:bookmarkEnd w:id="528"/>
    <w:bookmarkEnd w:id="529"/>
    <w:bookmarkEnd w:id="530"/>
    <w:bookmarkEnd w:id="531"/>
    <w:bookmarkEnd w:id="532"/>
    <w:p>
      <w:pPr>
        <w:snapToGrid w:val="0"/>
        <w:spacing w:before="120" w:beforeLines="50" w:after="120" w:afterLines="50" w:line="360" w:lineRule="auto"/>
        <w:outlineLvl w:val="1"/>
        <w:rPr>
          <w:rFonts w:ascii="宋体" w:hAnsi="宋体" w:eastAsia="黑体"/>
          <w:b w:val="0"/>
          <w:bCs/>
          <w:i w:val="0"/>
          <w:iCs w:val="0"/>
          <w:sz w:val="32"/>
          <w:szCs w:val="32"/>
          <w:highlight w:val="none"/>
        </w:rPr>
      </w:pPr>
      <w:bookmarkStart w:id="533" w:name="_Toc33285864"/>
      <w:bookmarkStart w:id="534" w:name="_Toc8896"/>
      <w:bookmarkStart w:id="535" w:name="_Toc481393176"/>
      <w:bookmarkStart w:id="536" w:name="_Toc497897290"/>
      <w:bookmarkStart w:id="537" w:name="_Toc152042547"/>
      <w:bookmarkStart w:id="538" w:name="_Toc247514199"/>
      <w:bookmarkStart w:id="539" w:name="_Toc247527800"/>
      <w:bookmarkStart w:id="540" w:name="_Toc152045768"/>
      <w:bookmarkStart w:id="541" w:name="_Toc144974827"/>
      <w:r>
        <w:rPr>
          <w:rFonts w:hint="eastAsia" w:ascii="宋体" w:hAnsi="宋体" w:eastAsia="黑体"/>
          <w:b w:val="0"/>
          <w:bCs/>
          <w:i w:val="0"/>
          <w:iCs w:val="0"/>
          <w:sz w:val="32"/>
          <w:szCs w:val="32"/>
          <w:highlight w:val="none"/>
        </w:rPr>
        <w:t>1一般约定</w:t>
      </w:r>
      <w:bookmarkEnd w:id="533"/>
      <w:bookmarkEnd w:id="534"/>
    </w:p>
    <w:p>
      <w:pPr>
        <w:snapToGrid w:val="0"/>
        <w:spacing w:line="360" w:lineRule="auto"/>
        <w:outlineLvl w:val="2"/>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1.1词语</w:t>
      </w:r>
      <w:bookmarkEnd w:id="535"/>
      <w:bookmarkEnd w:id="536"/>
      <w:r>
        <w:rPr>
          <w:rFonts w:hint="eastAsia" w:ascii="黑体" w:hAnsi="黑体" w:eastAsia="黑体" w:cs="黑体"/>
          <w:b w:val="0"/>
          <w:bCs/>
          <w:i w:val="0"/>
          <w:iCs w:val="0"/>
          <w:sz w:val="28"/>
          <w:szCs w:val="28"/>
          <w:highlight w:val="none"/>
        </w:rPr>
        <w:t>定义</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除上下文另有要求者外，合同中下列词语应具有本条所赋予的涵义：</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542" w:name="_Toc497897291"/>
      <w:r>
        <w:rPr>
          <w:rFonts w:hint="eastAsia" w:ascii="仿宋_GB2312" w:hAnsi="仿宋_GB2312" w:eastAsia="仿宋_GB2312" w:cs="仿宋_GB2312"/>
          <w:i w:val="0"/>
          <w:iCs w:val="0"/>
          <w:sz w:val="21"/>
          <w:szCs w:val="21"/>
          <w:highlight w:val="none"/>
        </w:rPr>
        <w:t>1.1</w:t>
      </w:r>
      <w:bookmarkEnd w:id="542"/>
      <w:r>
        <w:rPr>
          <w:rFonts w:hint="eastAsia" w:ascii="仿宋_GB2312" w:hAnsi="仿宋_GB2312" w:eastAsia="仿宋_GB2312" w:cs="仿宋_GB2312"/>
          <w:i w:val="0"/>
          <w:iCs w:val="0"/>
          <w:sz w:val="21"/>
          <w:szCs w:val="21"/>
          <w:highlight w:val="none"/>
        </w:rPr>
        <w:t>.1合同当事人</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1.1.1.1  发包人：指</w:t>
      </w:r>
      <w:r>
        <w:rPr>
          <w:rFonts w:hint="eastAsia" w:ascii="仿宋_GB2312" w:hAnsi="仿宋_GB2312" w:eastAsia="仿宋_GB2312" w:cs="仿宋_GB2312"/>
          <w:i w:val="0"/>
          <w:iCs w:val="0"/>
          <w:sz w:val="21"/>
          <w:szCs w:val="21"/>
          <w:highlight w:val="none"/>
          <w:u w:val="single"/>
        </w:rPr>
        <w:t xml:space="preserve">                          。</w:t>
      </w:r>
    </w:p>
    <w:p>
      <w:pPr>
        <w:spacing w:line="360" w:lineRule="auto"/>
        <w:ind w:firstLine="420" w:firstLineChars="200"/>
        <w:rPr>
          <w:rFonts w:hint="eastAsia" w:ascii="仿宋_GB2312" w:hAnsi="仿宋_GB2312" w:eastAsia="仿宋_GB2312" w:cs="仿宋_GB2312"/>
          <w:i w:val="0"/>
          <w:iCs w:val="0"/>
          <w:color w:val="FF0000"/>
          <w:sz w:val="21"/>
          <w:szCs w:val="21"/>
          <w:highlight w:val="none"/>
        </w:rPr>
      </w:pPr>
      <w:r>
        <w:rPr>
          <w:rFonts w:hint="eastAsia" w:ascii="仿宋_GB2312" w:hAnsi="仿宋_GB2312" w:eastAsia="仿宋_GB2312" w:cs="仿宋_GB2312"/>
          <w:i w:val="0"/>
          <w:iCs w:val="0"/>
          <w:sz w:val="21"/>
          <w:szCs w:val="21"/>
          <w:highlight w:val="none"/>
        </w:rPr>
        <w:t>1.1.1.2  承包人：指</w:t>
      </w:r>
      <w:r>
        <w:rPr>
          <w:rFonts w:hint="eastAsia" w:ascii="仿宋_GB2312" w:hAnsi="仿宋_GB2312" w:eastAsia="仿宋_GB2312" w:cs="仿宋_GB2312"/>
          <w:i w:val="0"/>
          <w:iCs w:val="0"/>
          <w:sz w:val="21"/>
          <w:szCs w:val="21"/>
          <w:highlight w:val="none"/>
          <w:u w:val="single"/>
        </w:rPr>
        <w:t xml:space="preserve">                          。</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1.1.1.3  设计单位：指承担本项目设计任务的当事人。</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1.1.1.4  监理单位：指承担本项目监理任务的当事人。</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1.1.1.5  施工单位：指与承包人正式签署施工合同的当事人。</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1.1.1.6  供货单位：指与承包人正式签署供货合同的当事人。</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543" w:name="_Toc497897292"/>
      <w:r>
        <w:rPr>
          <w:rFonts w:hint="eastAsia" w:ascii="仿宋_GB2312" w:hAnsi="仿宋_GB2312" w:eastAsia="仿宋_GB2312" w:cs="仿宋_GB2312"/>
          <w:i w:val="0"/>
          <w:iCs w:val="0"/>
          <w:sz w:val="21"/>
          <w:szCs w:val="21"/>
          <w:highlight w:val="none"/>
        </w:rPr>
        <w:t>1.1.2 合同</w:t>
      </w:r>
      <w:bookmarkEnd w:id="543"/>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1.1.2.1  合同文件（或称合同）：指由发包人与承包人签订的为完成本合同约定的各项工作所列入本合同的第1.4款全部文件以及其它在协议书中明确列入的文件。</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1.1.2.2  合同协议书：指承包人按中标通知书约定的时间与发包人签订合同协议书。</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1.1.2.3  中标通知书：指发包人通知承包人中标的函件。</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1.1.2.4  技术标准和要求：指构成合同文件组成部分的名为技术标准和要求的文件，包括合同双方当事人约定对其所作的修改或补充。</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1.1.2.5  图纸：指包含在合同中的工程图纸，以及由发包人按合同约定提供的任何补充和修改的图纸，包括配套的说明。</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1.1.2.6  其他合同文件：指经合同双方当事人确认构成合同文件的其他文件。</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544" w:name="_Toc497897293"/>
      <w:r>
        <w:rPr>
          <w:rFonts w:hint="eastAsia" w:ascii="仿宋_GB2312" w:hAnsi="仿宋_GB2312" w:eastAsia="仿宋_GB2312" w:cs="仿宋_GB2312"/>
          <w:i w:val="0"/>
          <w:iCs w:val="0"/>
          <w:sz w:val="21"/>
          <w:szCs w:val="21"/>
          <w:highlight w:val="none"/>
        </w:rPr>
        <w:t>1.1.3工程和设备</w:t>
      </w:r>
      <w:bookmarkEnd w:id="544"/>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1.1.3.1  工程：指合同协议书中项目管理总承包范围对应的永久工程和（或）临时工程。</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1.1.3.2  永久工程：指按合同约定建造并移交给发包人的工程，包括工程设备。</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1.1.3.3  临时工程：指为完成合同约定的永久工程所修建的各类临时性工程，不包括施工设备。</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1.1.3.4 工程设备：指构成或计划构成永久工程一部分的机电设备、金属结构设备、管路、线路等及附属设备、仪器及其它类似的设备和装置。</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1.1.3.5  施工设备：指为完成合同约定的各项工作所需的设备、器具和其它物品，不包括工程设备、临时工程和材料。</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1.1.3.6 临时设施，指为完成合同约定的各项工作所服务的临时性生产和生活设施。</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545" w:name="_Toc497897294"/>
      <w:r>
        <w:rPr>
          <w:rFonts w:hint="eastAsia" w:ascii="仿宋_GB2312" w:hAnsi="仿宋_GB2312" w:eastAsia="仿宋_GB2312" w:cs="仿宋_GB2312"/>
          <w:i w:val="0"/>
          <w:iCs w:val="0"/>
          <w:sz w:val="21"/>
          <w:szCs w:val="21"/>
          <w:highlight w:val="none"/>
        </w:rPr>
        <w:t>1.1.4</w:t>
      </w:r>
      <w:bookmarkEnd w:id="545"/>
      <w:r>
        <w:rPr>
          <w:rFonts w:hint="eastAsia" w:ascii="仿宋_GB2312" w:hAnsi="仿宋_GB2312" w:eastAsia="仿宋_GB2312" w:cs="仿宋_GB2312"/>
          <w:i w:val="0"/>
          <w:iCs w:val="0"/>
          <w:sz w:val="21"/>
          <w:szCs w:val="21"/>
          <w:highlight w:val="none"/>
        </w:rPr>
        <w:t>日期</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1.1.4.1 开工通知：指发包人（或发包人委托监理人）通知承包人开工的函件。</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1.1.4.2开工日期：指具备开工条件下开工通知中写明的开工日期。</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1.1.4.3完工日期：指本合同约定的全部工程、单位工程或分部工程完工，并通过完工验收后在完工验收鉴定书中写明的完工日期。</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1.1.4.5 竣工日期：指本合同约定的工程项目全部完成，并通过竣工验收后在竣工验收鉴定书中写明的竣工日期。</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1.1.4.6 质量保修期：指承包人按照合同约定对工程承担质量保修责任的期限，从工程通过合同工程完工验收后开始计算。</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1.1.4.7  天：指日历天。合同中按天计算时间的，开始当天不计入，从次日开始计算。期限最后一天的截止时间为当天24:00。</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546" w:name="_Toc497897295"/>
      <w:r>
        <w:rPr>
          <w:rFonts w:hint="eastAsia" w:ascii="仿宋_GB2312" w:hAnsi="仿宋_GB2312" w:eastAsia="仿宋_GB2312" w:cs="仿宋_GB2312"/>
          <w:i w:val="0"/>
          <w:iCs w:val="0"/>
          <w:sz w:val="21"/>
          <w:szCs w:val="21"/>
          <w:highlight w:val="none"/>
        </w:rPr>
        <w:t>1.1.5合同价格和费用</w:t>
      </w:r>
      <w:bookmarkEnd w:id="546"/>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1.1.5.1签约合同价格：指签订合同时合同协议书中写明的合同总金额。</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1.1.5.1合同价格：指承包人按合同约定完成了包括质量保修期内的全部工作后，发包人应付给承包人的所有价款，包括在履行合同过程中按合同约定进行的变更和调整。</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1.1.5.2工程价款：指承包人完成了部分或全部工程内容时，按照合同约定发包人应支付给承包人的与该部分或全部工程内容相应的包含在合同价格中的金额。</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1.1.5.3费用：指为履行合同所发生的或将要发生的所有合理开支，包括管理费和应分摊的其他费用，但不包括利润。</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1.1.5.4质量保证金：指按合同约定用于保证在质量保修期内履行缺陷修复义务的金额。</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1.1.6 不可抗力</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指承包人和发包人在订立合同时不可预见，在合同履行过程中不可避免且不能克服的自然灾害和社会性突发事件，如地震、海啸、瘟疫、超标准洪水、骚乱、戒严、暴动、战争和合同约定的其他情形。</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547" w:name="_Toc497897296"/>
      <w:r>
        <w:rPr>
          <w:rFonts w:hint="eastAsia" w:ascii="仿宋_GB2312" w:hAnsi="仿宋_GB2312" w:eastAsia="仿宋_GB2312" w:cs="仿宋_GB2312"/>
          <w:i w:val="0"/>
          <w:iCs w:val="0"/>
          <w:sz w:val="21"/>
          <w:szCs w:val="21"/>
          <w:highlight w:val="none"/>
        </w:rPr>
        <w:t>1.1.7其它</w:t>
      </w:r>
      <w:bookmarkEnd w:id="547"/>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1.1.7.1书面形式：指合同文件、信函、电报、传真、数据电文、电子邮件、会议纪要等可以有形地表现所载内容的形式。</w:t>
      </w:r>
    </w:p>
    <w:p>
      <w:pPr>
        <w:snapToGrid w:val="0"/>
        <w:spacing w:line="360" w:lineRule="auto"/>
        <w:outlineLvl w:val="2"/>
        <w:rPr>
          <w:rFonts w:hint="eastAsia" w:ascii="黑体" w:hAnsi="黑体" w:eastAsia="黑体" w:cs="黑体"/>
          <w:b w:val="0"/>
          <w:bCs/>
          <w:i w:val="0"/>
          <w:iCs w:val="0"/>
          <w:sz w:val="28"/>
          <w:szCs w:val="28"/>
          <w:highlight w:val="none"/>
        </w:rPr>
      </w:pPr>
      <w:bookmarkStart w:id="548" w:name="_Toc497897298"/>
      <w:r>
        <w:rPr>
          <w:rFonts w:hint="eastAsia" w:ascii="黑体" w:hAnsi="黑体" w:eastAsia="黑体" w:cs="黑体"/>
          <w:b w:val="0"/>
          <w:bCs/>
          <w:i w:val="0"/>
          <w:iCs w:val="0"/>
          <w:sz w:val="28"/>
          <w:szCs w:val="28"/>
          <w:highlight w:val="none"/>
        </w:rPr>
        <w:t>1.2语言文字</w:t>
      </w:r>
      <w:bookmarkEnd w:id="548"/>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除专用术语外，本合同使用的语言文字为中文。</w:t>
      </w:r>
    </w:p>
    <w:p>
      <w:pPr>
        <w:snapToGrid w:val="0"/>
        <w:spacing w:line="360" w:lineRule="auto"/>
        <w:outlineLvl w:val="2"/>
        <w:rPr>
          <w:rFonts w:hint="eastAsia" w:ascii="黑体" w:hAnsi="黑体" w:eastAsia="黑体" w:cs="黑体"/>
          <w:b w:val="0"/>
          <w:bCs/>
          <w:i w:val="0"/>
          <w:iCs w:val="0"/>
          <w:sz w:val="28"/>
          <w:szCs w:val="28"/>
          <w:highlight w:val="none"/>
        </w:rPr>
      </w:pPr>
      <w:bookmarkStart w:id="549" w:name="_Toc497897299"/>
      <w:r>
        <w:rPr>
          <w:rFonts w:hint="eastAsia" w:ascii="黑体" w:hAnsi="黑体" w:eastAsia="黑体" w:cs="黑体"/>
          <w:b w:val="0"/>
          <w:bCs/>
          <w:i w:val="0"/>
          <w:iCs w:val="0"/>
          <w:sz w:val="28"/>
          <w:szCs w:val="28"/>
          <w:highlight w:val="none"/>
        </w:rPr>
        <w:t>1.3法律</w:t>
      </w:r>
      <w:bookmarkEnd w:id="549"/>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适用于本合同的法律包括中华人民共和国法律、行政法规、部门规章，以及工程所在地的地方法规、自治条例、单行条例和地方政府规章。</w:t>
      </w:r>
    </w:p>
    <w:p>
      <w:pPr>
        <w:snapToGrid w:val="0"/>
        <w:spacing w:line="360" w:lineRule="auto"/>
        <w:outlineLvl w:val="2"/>
        <w:rPr>
          <w:rFonts w:hint="eastAsia" w:ascii="黑体" w:hAnsi="黑体" w:eastAsia="黑体" w:cs="黑体"/>
          <w:b w:val="0"/>
          <w:bCs/>
          <w:i w:val="0"/>
          <w:iCs w:val="0"/>
          <w:sz w:val="28"/>
          <w:szCs w:val="28"/>
          <w:highlight w:val="none"/>
        </w:rPr>
      </w:pPr>
      <w:bookmarkStart w:id="550" w:name="_Toc497897300"/>
      <w:r>
        <w:rPr>
          <w:rFonts w:hint="eastAsia" w:ascii="黑体" w:hAnsi="黑体" w:eastAsia="黑体" w:cs="黑体"/>
          <w:b w:val="0"/>
          <w:bCs/>
          <w:i w:val="0"/>
          <w:iCs w:val="0"/>
          <w:sz w:val="28"/>
          <w:szCs w:val="28"/>
          <w:highlight w:val="none"/>
        </w:rPr>
        <w:t>1.4合同文件优先顺序</w:t>
      </w:r>
      <w:bookmarkEnd w:id="550"/>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组成合同的文件应相互解释，互为说明。解释合同文件的优顺序如下：</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（1）合同协议书（含合同补充协议书、合同谈判纪要）；</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（2）中标通知书；</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（3）投标报价书；</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（4）合同条款；</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（5）工程量清单；</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 xml:space="preserve">（6）合同附件； </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（7）批复的初步设计报告及附件；</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（8）技术标准和要求；</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（9）图纸；</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（10）投标文件、招标文件；</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（11）双方约定构成合同组成部分的其它文件。</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双方在履行合同过程中形成的会议纪要、备忘录、补充文件、变更和洽谈等书面形式的文件构成本合同的组成部分。</w:t>
      </w:r>
    </w:p>
    <w:p>
      <w:pPr>
        <w:snapToGrid w:val="0"/>
        <w:spacing w:line="360" w:lineRule="auto"/>
        <w:outlineLvl w:val="2"/>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1.5 化石、文物</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pPr>
        <w:snapToGrid w:val="0"/>
        <w:spacing w:before="120" w:beforeLines="50" w:after="120" w:afterLines="50" w:line="360" w:lineRule="auto"/>
        <w:outlineLvl w:val="1"/>
        <w:rPr>
          <w:rFonts w:hint="eastAsia" w:ascii="宋体" w:hAnsi="宋体" w:eastAsia="黑体"/>
          <w:b w:val="0"/>
          <w:bCs/>
          <w:i w:val="0"/>
          <w:iCs w:val="0"/>
          <w:sz w:val="32"/>
          <w:szCs w:val="32"/>
          <w:highlight w:val="none"/>
        </w:rPr>
      </w:pPr>
      <w:bookmarkStart w:id="551" w:name="_Toc481393177"/>
      <w:bookmarkStart w:id="552" w:name="_Toc23370"/>
      <w:bookmarkStart w:id="553" w:name="bookmark81"/>
      <w:bookmarkStart w:id="554" w:name="_Toc33285865"/>
      <w:bookmarkStart w:id="555" w:name="_Toc497897297"/>
      <w:r>
        <w:rPr>
          <w:rFonts w:hint="eastAsia" w:ascii="宋体" w:hAnsi="宋体" w:eastAsia="黑体"/>
          <w:b w:val="0"/>
          <w:bCs/>
          <w:i w:val="0"/>
          <w:iCs w:val="0"/>
          <w:sz w:val="32"/>
          <w:szCs w:val="32"/>
          <w:highlight w:val="none"/>
        </w:rPr>
        <w:t>2合同范围</w:t>
      </w:r>
      <w:bookmarkEnd w:id="551"/>
      <w:bookmarkEnd w:id="552"/>
      <w:bookmarkEnd w:id="553"/>
      <w:bookmarkEnd w:id="554"/>
      <w:bookmarkEnd w:id="555"/>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见合同协议书。</w:t>
      </w:r>
    </w:p>
    <w:p>
      <w:pPr>
        <w:snapToGrid w:val="0"/>
        <w:spacing w:before="120" w:beforeLines="50" w:after="120" w:afterLines="50" w:line="360" w:lineRule="auto"/>
        <w:outlineLvl w:val="1"/>
        <w:rPr>
          <w:rFonts w:hint="eastAsia" w:ascii="宋体" w:hAnsi="宋体" w:eastAsia="黑体"/>
          <w:b w:val="0"/>
          <w:bCs/>
          <w:i w:val="0"/>
          <w:iCs w:val="0"/>
          <w:sz w:val="32"/>
          <w:szCs w:val="32"/>
          <w:highlight w:val="none"/>
        </w:rPr>
      </w:pPr>
      <w:bookmarkStart w:id="556" w:name="_Toc497897309"/>
      <w:bookmarkStart w:id="557" w:name="_Toc481393179"/>
      <w:bookmarkStart w:id="558" w:name="bookmark83"/>
      <w:bookmarkStart w:id="559" w:name="_Toc33285866"/>
      <w:bookmarkStart w:id="560" w:name="_Toc19134"/>
      <w:r>
        <w:rPr>
          <w:rFonts w:hint="eastAsia" w:ascii="宋体" w:hAnsi="宋体" w:eastAsia="黑体"/>
          <w:b w:val="0"/>
          <w:bCs/>
          <w:i w:val="0"/>
          <w:iCs w:val="0"/>
          <w:sz w:val="32"/>
          <w:szCs w:val="32"/>
          <w:highlight w:val="none"/>
        </w:rPr>
        <w:t>3发包人的</w:t>
      </w:r>
      <w:bookmarkEnd w:id="556"/>
      <w:bookmarkEnd w:id="557"/>
      <w:bookmarkEnd w:id="558"/>
      <w:r>
        <w:rPr>
          <w:rFonts w:hint="eastAsia" w:ascii="宋体" w:hAnsi="宋体" w:eastAsia="黑体"/>
          <w:b w:val="0"/>
          <w:bCs/>
          <w:i w:val="0"/>
          <w:iCs w:val="0"/>
          <w:sz w:val="32"/>
          <w:szCs w:val="32"/>
          <w:highlight w:val="none"/>
        </w:rPr>
        <w:t>权利和义务</w:t>
      </w:r>
      <w:bookmarkEnd w:id="559"/>
      <w:bookmarkEnd w:id="560"/>
    </w:p>
    <w:p>
      <w:pPr>
        <w:spacing w:line="360" w:lineRule="auto"/>
        <w:rPr>
          <w:rFonts w:hint="eastAsia" w:ascii="黑体" w:hAnsi="黑体" w:eastAsia="黑体" w:cs="黑体"/>
          <w:b w:val="0"/>
          <w:bCs/>
          <w:i w:val="0"/>
          <w:iCs w:val="0"/>
          <w:sz w:val="28"/>
          <w:szCs w:val="28"/>
          <w:highlight w:val="none"/>
        </w:rPr>
      </w:pPr>
      <w:bookmarkStart w:id="561" w:name="_Toc497897310"/>
      <w:r>
        <w:rPr>
          <w:rFonts w:hint="eastAsia" w:ascii="黑体" w:hAnsi="黑体" w:eastAsia="黑体" w:cs="黑体"/>
          <w:b w:val="0"/>
          <w:bCs/>
          <w:i w:val="0"/>
          <w:iCs w:val="0"/>
          <w:sz w:val="28"/>
          <w:szCs w:val="28"/>
          <w:highlight w:val="none"/>
        </w:rPr>
        <w:t>3.1发包人的权利</w:t>
      </w:r>
      <w:bookmarkEnd w:id="561"/>
    </w:p>
    <w:p>
      <w:pPr>
        <w:spacing w:line="360" w:lineRule="auto"/>
        <w:ind w:firstLine="520" w:firstLineChars="200"/>
        <w:rPr>
          <w:rFonts w:hint="eastAsia" w:ascii="仿宋_GB2312" w:hAnsi="仿宋_GB2312" w:eastAsia="仿宋_GB2312" w:cs="仿宋_GB2312"/>
          <w:i w:val="0"/>
          <w:iCs w:val="0"/>
          <w:sz w:val="21"/>
          <w:szCs w:val="21"/>
          <w:highlight w:val="none"/>
        </w:rPr>
      </w:pPr>
      <w:r>
        <w:rPr>
          <w:rFonts w:hint="eastAsia"/>
          <w:i w:val="0"/>
          <w:iCs w:val="0"/>
          <w:spacing w:val="10"/>
          <w:sz w:val="24"/>
          <w:highlight w:val="none"/>
        </w:rPr>
        <w:t>3</w:t>
      </w:r>
      <w:r>
        <w:rPr>
          <w:rFonts w:hint="eastAsia" w:ascii="仿宋_GB2312" w:hAnsi="仿宋_GB2312" w:eastAsia="仿宋_GB2312" w:cs="仿宋_GB2312"/>
          <w:i w:val="0"/>
          <w:iCs w:val="0"/>
          <w:sz w:val="21"/>
          <w:szCs w:val="21"/>
          <w:highlight w:val="none"/>
        </w:rPr>
        <w:t>.1.1对承包人的项目建设管理总价承包工作进行监督、检查，有权要求承包人撤换不称职的现场管理工作人员。</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3.1.2有权核查承包人现场签定的现场签证单、付款凭证，发现不合理的，要求其限期整改。</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3.1.3当承包人发生下列违约情形时，发包人有权解除合同。</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（1）合同执行过程中，承包人服务质量不满足合同要求，经发包人要求整改仍达不到合同要求的；</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（2）由于承包人过失，越权下达错误指令，给发包人造成重大损失的；</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（3）合同执行过程中，承包人不能履行项目管理相关义务，有徇私舞弊行为的以及和第三方恶意串通给发包人造成损失的；</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（4）项目建设过程中泄露有关机密，致使工作出现重大偏差的。</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3.1.4要求承包人提交管理工作月、季、年度报告和各相关专题报告。</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3.1.5发包人有权对承包人选择的施工单位的资质和人员进行核验。</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3.1.6发包人有权审核承包人资金计划并对资金使用进行监管。</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3.1.7监督工程档案的编制与交付。</w:t>
      </w:r>
    </w:p>
    <w:p>
      <w:pPr>
        <w:spacing w:line="360" w:lineRule="auto"/>
        <w:rPr>
          <w:rFonts w:hint="eastAsia" w:ascii="黑体" w:hAnsi="黑体" w:eastAsia="黑体" w:cs="黑体"/>
          <w:b w:val="0"/>
          <w:bCs/>
          <w:i w:val="0"/>
          <w:iCs w:val="0"/>
          <w:sz w:val="28"/>
          <w:szCs w:val="28"/>
          <w:highlight w:val="none"/>
        </w:rPr>
      </w:pPr>
      <w:bookmarkStart w:id="562" w:name="_Toc497897311"/>
      <w:r>
        <w:rPr>
          <w:rFonts w:hint="eastAsia" w:ascii="黑体" w:hAnsi="黑体" w:eastAsia="黑体" w:cs="黑体"/>
          <w:b w:val="0"/>
          <w:bCs/>
          <w:i w:val="0"/>
          <w:iCs w:val="0"/>
          <w:sz w:val="28"/>
          <w:szCs w:val="28"/>
          <w:highlight w:val="none"/>
        </w:rPr>
        <w:t>3.2发包人的一般义务和责任</w:t>
      </w:r>
      <w:bookmarkEnd w:id="562"/>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3.2.1发包人应在其组织实施本合同的全部工作中遵守与本合同有关的法律、法规和规章，并应承担由于其自身违反上述法律、法规和规章的相应责任。</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3.2.2发包人应按合同条款的约定及时支付工程价款。</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3.2.3负责组织或协调有关部门实施建设征地、移民安置及专项迁改工作，办理工程建设相关手续。</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3.2.4负责收集施工现场及施工可能影响的毗邻区域内供水、排水、供电、供气、供热、通信、广播电视等地下管线资料，气象和水文观测资料，拟建工程可能影响的相邻建筑物地下工程的有关资料。（视项目特点选择性使用）</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3.2.5有权参与施工图设计审查、图纸会审和设计交底，以及工程设计优化和重大设计变更审查。</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3.2.6发布开工通知。</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3.2.7参与工程建设的全过程，负责审查相关资料，对工程建设全过程进行监督。</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3.2.8主持（或委托承包人完成）单位工程验收、完工验收。</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3.2.9通过合同工程完工验收或投入使用验收后，发包人应在30个工作日内组织工程移交。</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3.2.10及时向主管部门申请工程竣工验收。</w:t>
      </w:r>
    </w:p>
    <w:p>
      <w:pPr>
        <w:snapToGrid w:val="0"/>
        <w:spacing w:before="120" w:beforeLines="50" w:after="120" w:afterLines="50" w:line="360" w:lineRule="auto"/>
        <w:outlineLvl w:val="1"/>
        <w:rPr>
          <w:rFonts w:hint="eastAsia" w:ascii="宋体" w:hAnsi="宋体" w:eastAsia="黑体"/>
          <w:b w:val="0"/>
          <w:bCs/>
          <w:i w:val="0"/>
          <w:iCs w:val="0"/>
          <w:sz w:val="32"/>
          <w:szCs w:val="32"/>
          <w:highlight w:val="none"/>
        </w:rPr>
      </w:pPr>
      <w:bookmarkStart w:id="563" w:name="_Toc497897312"/>
      <w:bookmarkStart w:id="564" w:name="_Toc15000"/>
      <w:bookmarkStart w:id="565" w:name="_Toc33285867"/>
      <w:r>
        <w:rPr>
          <w:rFonts w:hint="eastAsia" w:ascii="宋体" w:hAnsi="宋体" w:eastAsia="黑体"/>
          <w:b w:val="0"/>
          <w:bCs/>
          <w:i w:val="0"/>
          <w:iCs w:val="0"/>
          <w:sz w:val="32"/>
          <w:szCs w:val="32"/>
          <w:highlight w:val="none"/>
        </w:rPr>
        <w:t>4承包人的权利</w:t>
      </w:r>
      <w:bookmarkEnd w:id="563"/>
      <w:r>
        <w:rPr>
          <w:rFonts w:hint="eastAsia" w:ascii="宋体" w:hAnsi="宋体" w:eastAsia="黑体"/>
          <w:b w:val="0"/>
          <w:bCs/>
          <w:i w:val="0"/>
          <w:iCs w:val="0"/>
          <w:sz w:val="32"/>
          <w:szCs w:val="32"/>
          <w:highlight w:val="none"/>
        </w:rPr>
        <w:t>和义务</w:t>
      </w:r>
      <w:bookmarkEnd w:id="564"/>
      <w:bookmarkEnd w:id="565"/>
    </w:p>
    <w:p>
      <w:pPr>
        <w:spacing w:line="360" w:lineRule="auto"/>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4.1承包人的权利</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根据国家有关法律法规通过招标等采购方式选定施工单位、供货单位等，并与其签订合同。</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随时核查施工单位、供货单位等现场工作人员数量及相应岗位资格，并要求其撤换不称职的现场工作人员。</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3</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发现施工单位使用的施工设备、原材料等影响工程质量或进度时，要求其増加或更换。</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4</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由于发包人过失，越权下达错误指令，给承包人造成重大损失的，承包人有权索赔。</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5</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非承包人原因造成工期延误、费用増加，承包人有权对工期和费用提出索赔。</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6</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发包人违约给承包人造成损失，使合同无法履行时，承包人有权提出终止合同。</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7</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代发包人对监理单位就工程项目（除项目资金外）进行监督管理（视项目特点选择性使用）。</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8</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按照发包人授权进行设计管理（视项目特点选择性使用）</w:t>
      </w:r>
      <w:r>
        <w:rPr>
          <w:rFonts w:hint="eastAsia" w:ascii="仿宋_GB2312" w:hAnsi="仿宋_GB2312" w:eastAsia="仿宋_GB2312" w:cs="仿宋_GB2312"/>
          <w:i w:val="0"/>
          <w:iCs w:val="0"/>
          <w:sz w:val="21"/>
          <w:szCs w:val="21"/>
          <w:highlight w:val="none"/>
          <w:lang w:eastAsia="zh-CN"/>
        </w:rPr>
        <w:t>。</w:t>
      </w:r>
    </w:p>
    <w:p>
      <w:pPr>
        <w:spacing w:line="360" w:lineRule="auto"/>
        <w:rPr>
          <w:rFonts w:hint="eastAsia" w:ascii="黑体" w:hAnsi="黑体" w:eastAsia="黑体" w:cs="黑体"/>
          <w:b w:val="0"/>
          <w:bCs/>
          <w:i w:val="0"/>
          <w:iCs w:val="0"/>
          <w:sz w:val="28"/>
          <w:szCs w:val="28"/>
          <w:highlight w:val="none"/>
        </w:rPr>
      </w:pPr>
      <w:bookmarkStart w:id="566" w:name="_Toc497897313"/>
      <w:bookmarkStart w:id="567" w:name="_Toc497897314"/>
      <w:r>
        <w:rPr>
          <w:rFonts w:hint="eastAsia" w:ascii="黑体" w:hAnsi="黑体" w:eastAsia="黑体" w:cs="黑体"/>
          <w:b w:val="0"/>
          <w:bCs/>
          <w:i w:val="0"/>
          <w:iCs w:val="0"/>
          <w:sz w:val="28"/>
          <w:szCs w:val="28"/>
          <w:highlight w:val="none"/>
        </w:rPr>
        <w:t>4.2承包人的一般义务和责任</w:t>
      </w:r>
      <w:bookmarkEnd w:id="566"/>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w:t>
      </w:r>
      <w:r>
        <w:rPr>
          <w:rFonts w:hint="eastAsia" w:ascii="仿宋_GB2312" w:hAnsi="仿宋_GB2312" w:eastAsia="仿宋_GB2312" w:cs="仿宋_GB2312"/>
          <w:i w:val="0"/>
          <w:iCs w:val="0"/>
          <w:sz w:val="21"/>
          <w:szCs w:val="21"/>
          <w:highlight w:val="none"/>
          <w:lang w:eastAsia="zh-CN"/>
        </w:rPr>
        <w:t>）应遵守与本合同有关的法律、法规和规章，并应承担由于其自身违反有关法律、法规和规章的相应责任。</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w:t>
      </w:r>
      <w:r>
        <w:rPr>
          <w:rFonts w:hint="eastAsia" w:ascii="仿宋_GB2312" w:hAnsi="仿宋_GB2312" w:eastAsia="仿宋_GB2312" w:cs="仿宋_GB2312"/>
          <w:i w:val="0"/>
          <w:iCs w:val="0"/>
          <w:sz w:val="21"/>
          <w:szCs w:val="21"/>
          <w:highlight w:val="none"/>
          <w:lang w:eastAsia="zh-CN"/>
        </w:rPr>
        <w:t>）按合同要求组建工程项目管理部，履行承包人组织建设本工程的职责，对承包范围内的工程规模、安全、工程质量、工期、资金使用和现场管理直接负责。</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3</w:t>
      </w:r>
      <w:r>
        <w:rPr>
          <w:rFonts w:hint="eastAsia" w:ascii="仿宋_GB2312" w:hAnsi="仿宋_GB2312" w:eastAsia="仿宋_GB2312" w:cs="仿宋_GB2312"/>
          <w:i w:val="0"/>
          <w:iCs w:val="0"/>
          <w:sz w:val="21"/>
          <w:szCs w:val="21"/>
          <w:highlight w:val="none"/>
          <w:lang w:eastAsia="zh-CN"/>
        </w:rPr>
        <w:t>）在本合同生效后及时任命项目经理，并由承包人法定代表人签发书面授权委托书。</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4</w:t>
      </w:r>
      <w:r>
        <w:rPr>
          <w:rFonts w:hint="eastAsia" w:ascii="仿宋_GB2312" w:hAnsi="仿宋_GB2312" w:eastAsia="仿宋_GB2312" w:cs="仿宋_GB2312"/>
          <w:i w:val="0"/>
          <w:iCs w:val="0"/>
          <w:sz w:val="21"/>
          <w:szCs w:val="21"/>
          <w:highlight w:val="none"/>
          <w:lang w:eastAsia="zh-CN"/>
        </w:rPr>
        <w:t>）在开工前须做好各项项目管理准备工作，及时向发包人提交项目管理策划文件。</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5</w:t>
      </w:r>
      <w:r>
        <w:rPr>
          <w:rFonts w:hint="eastAsia" w:ascii="仿宋_GB2312" w:hAnsi="仿宋_GB2312" w:eastAsia="仿宋_GB2312" w:cs="仿宋_GB2312"/>
          <w:i w:val="0"/>
          <w:iCs w:val="0"/>
          <w:sz w:val="21"/>
          <w:szCs w:val="21"/>
          <w:highlight w:val="none"/>
          <w:lang w:eastAsia="zh-CN"/>
        </w:rPr>
        <w:t>）协助发包人完成初设阶段的设计审查及批复工作；督促设计单位按照施工图供应协议及时提交满足工程建设需要的施工图纸；督促设计单位根据各方审核意见、专家咨询意见对工程设计进行优化。</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6</w:t>
      </w:r>
      <w:r>
        <w:rPr>
          <w:rFonts w:hint="eastAsia" w:ascii="仿宋_GB2312" w:hAnsi="仿宋_GB2312" w:eastAsia="仿宋_GB2312" w:cs="仿宋_GB2312"/>
          <w:i w:val="0"/>
          <w:iCs w:val="0"/>
          <w:sz w:val="21"/>
          <w:szCs w:val="21"/>
          <w:highlight w:val="none"/>
          <w:lang w:eastAsia="zh-CN"/>
        </w:rPr>
        <w:t>）承担项目分包采购管理，编制施工招标采购计划报发包人核备。</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7</w:t>
      </w:r>
      <w:r>
        <w:rPr>
          <w:rFonts w:hint="eastAsia" w:ascii="仿宋_GB2312" w:hAnsi="仿宋_GB2312" w:eastAsia="仿宋_GB2312" w:cs="仿宋_GB2312"/>
          <w:i w:val="0"/>
          <w:iCs w:val="0"/>
          <w:sz w:val="21"/>
          <w:szCs w:val="21"/>
          <w:highlight w:val="none"/>
          <w:lang w:eastAsia="zh-CN"/>
        </w:rPr>
        <w:t>）编制资金使用计划，报发包人批准。</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8</w:t>
      </w:r>
      <w:r>
        <w:rPr>
          <w:rFonts w:hint="eastAsia" w:ascii="仿宋_GB2312" w:hAnsi="仿宋_GB2312" w:eastAsia="仿宋_GB2312" w:cs="仿宋_GB2312"/>
          <w:i w:val="0"/>
          <w:iCs w:val="0"/>
          <w:sz w:val="21"/>
          <w:szCs w:val="21"/>
          <w:highlight w:val="none"/>
          <w:lang w:eastAsia="zh-CN"/>
        </w:rPr>
        <w:t>）按有关规范、规程、标准和管理规定，检查监督施工单位、材料设备供货单位的工作。</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9</w:t>
      </w:r>
      <w:r>
        <w:rPr>
          <w:rFonts w:hint="eastAsia" w:ascii="仿宋_GB2312" w:hAnsi="仿宋_GB2312" w:eastAsia="仿宋_GB2312" w:cs="仿宋_GB2312"/>
          <w:i w:val="0"/>
          <w:iCs w:val="0"/>
          <w:sz w:val="21"/>
          <w:szCs w:val="21"/>
          <w:highlight w:val="none"/>
          <w:lang w:eastAsia="zh-CN"/>
        </w:rPr>
        <w:t>）协助发包人办理工程建设相关手续。</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10</w:t>
      </w:r>
      <w:r>
        <w:rPr>
          <w:rFonts w:hint="eastAsia" w:ascii="仿宋_GB2312" w:hAnsi="仿宋_GB2312" w:eastAsia="仿宋_GB2312" w:cs="仿宋_GB2312"/>
          <w:i w:val="0"/>
          <w:iCs w:val="0"/>
          <w:sz w:val="21"/>
          <w:szCs w:val="21"/>
          <w:highlight w:val="none"/>
          <w:lang w:eastAsia="zh-CN"/>
        </w:rPr>
        <w:t>）协助发包人进行征地、移民、拆迀工作。</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11</w:t>
      </w:r>
      <w:r>
        <w:rPr>
          <w:rFonts w:hint="eastAsia" w:ascii="仿宋_GB2312" w:hAnsi="仿宋_GB2312" w:eastAsia="仿宋_GB2312" w:cs="仿宋_GB2312"/>
          <w:i w:val="0"/>
          <w:iCs w:val="0"/>
          <w:sz w:val="21"/>
          <w:szCs w:val="21"/>
          <w:highlight w:val="none"/>
          <w:lang w:eastAsia="zh-CN"/>
        </w:rPr>
        <w:t>）负责工程试运行管理，包括编制试运行计划、试运行准备、人员培训、试运行过程指导与服务。</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12</w:t>
      </w:r>
      <w:r>
        <w:rPr>
          <w:rFonts w:hint="eastAsia" w:ascii="仿宋_GB2312" w:hAnsi="仿宋_GB2312" w:eastAsia="仿宋_GB2312" w:cs="仿宋_GB2312"/>
          <w:i w:val="0"/>
          <w:iCs w:val="0"/>
          <w:sz w:val="21"/>
          <w:szCs w:val="21"/>
          <w:highlight w:val="none"/>
          <w:lang w:eastAsia="zh-CN"/>
        </w:rPr>
        <w:t>）接受发包人及上级部门组织的工程检查，组织或参与各类验收。</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13</w:t>
      </w:r>
      <w:r>
        <w:rPr>
          <w:rFonts w:hint="eastAsia" w:ascii="仿宋_GB2312" w:hAnsi="仿宋_GB2312" w:eastAsia="仿宋_GB2312" w:cs="仿宋_GB2312"/>
          <w:i w:val="0"/>
          <w:iCs w:val="0"/>
          <w:sz w:val="21"/>
          <w:szCs w:val="21"/>
          <w:highlight w:val="none"/>
          <w:lang w:eastAsia="zh-CN"/>
        </w:rPr>
        <w:t>）负责向发包人按时提交项目管理资料。</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14</w:t>
      </w:r>
      <w:r>
        <w:rPr>
          <w:rFonts w:hint="eastAsia" w:ascii="仿宋_GB2312" w:hAnsi="仿宋_GB2312" w:eastAsia="仿宋_GB2312" w:cs="仿宋_GB2312"/>
          <w:i w:val="0"/>
          <w:iCs w:val="0"/>
          <w:sz w:val="21"/>
          <w:szCs w:val="21"/>
          <w:highlight w:val="none"/>
          <w:lang w:eastAsia="zh-CN"/>
        </w:rPr>
        <w:t>）按照发包人授权，协调工程建设期间参建方各方的关系。</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15</w:t>
      </w:r>
      <w:r>
        <w:rPr>
          <w:rFonts w:hint="eastAsia" w:ascii="仿宋_GB2312" w:hAnsi="仿宋_GB2312" w:eastAsia="仿宋_GB2312" w:cs="仿宋_GB2312"/>
          <w:i w:val="0"/>
          <w:iCs w:val="0"/>
          <w:sz w:val="21"/>
          <w:szCs w:val="21"/>
          <w:highlight w:val="none"/>
          <w:lang w:eastAsia="zh-CN"/>
        </w:rPr>
        <w:t>）负责在合同约定的保修期内，对属于承包人责任的工程质量问题负责无偿保修。</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16</w:t>
      </w:r>
      <w:r>
        <w:rPr>
          <w:rFonts w:hint="eastAsia" w:ascii="仿宋_GB2312" w:hAnsi="仿宋_GB2312" w:eastAsia="仿宋_GB2312" w:cs="仿宋_GB2312"/>
          <w:i w:val="0"/>
          <w:iCs w:val="0"/>
          <w:sz w:val="21"/>
          <w:szCs w:val="21"/>
          <w:highlight w:val="none"/>
          <w:lang w:eastAsia="zh-CN"/>
        </w:rPr>
        <w:t>）负责办理工程保险，并承担由于自身的安全措施不力、行为过失和疏忽造成事故的责任和因此发生的费用。</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17</w:t>
      </w:r>
      <w:r>
        <w:rPr>
          <w:rFonts w:hint="eastAsia" w:ascii="仿宋_GB2312" w:hAnsi="仿宋_GB2312" w:eastAsia="仿宋_GB2312" w:cs="仿宋_GB2312"/>
          <w:i w:val="0"/>
          <w:iCs w:val="0"/>
          <w:sz w:val="21"/>
          <w:szCs w:val="21"/>
          <w:highlight w:val="none"/>
          <w:lang w:eastAsia="zh-CN"/>
        </w:rPr>
        <w:t>）及时支付雇员和工人工资，避免由此引发群体事件。由于承包人责任引发的群体事件，承包人应承担相应的法律责任。</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18</w:t>
      </w:r>
      <w:r>
        <w:rPr>
          <w:rFonts w:hint="eastAsia" w:ascii="仿宋_GB2312" w:hAnsi="仿宋_GB2312" w:eastAsia="仿宋_GB2312" w:cs="仿宋_GB2312"/>
          <w:i w:val="0"/>
          <w:iCs w:val="0"/>
          <w:sz w:val="21"/>
          <w:szCs w:val="21"/>
          <w:highlight w:val="none"/>
          <w:lang w:eastAsia="zh-CN"/>
        </w:rPr>
        <w:t>）保障农民工工资支付，维护农民工合法权益，遵守项目所在地政府有关农民工工资的规定。</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19</w:t>
      </w:r>
      <w:r>
        <w:rPr>
          <w:rFonts w:hint="eastAsia" w:ascii="仿宋_GB2312" w:hAnsi="仿宋_GB2312" w:eastAsia="仿宋_GB2312" w:cs="仿宋_GB2312"/>
          <w:i w:val="0"/>
          <w:iCs w:val="0"/>
          <w:sz w:val="21"/>
          <w:szCs w:val="21"/>
          <w:highlight w:val="none"/>
          <w:lang w:eastAsia="zh-CN"/>
        </w:rPr>
        <w:t>）协助发包人收集施工现场及施工可能影响的毗邻区域内供水、排水、供电、供气、供热、通信、广播电视等地下管线资料，气象和水文观测资料，拟建工程可能影响的相邻建筑物地下工程的有关资料。</w:t>
      </w:r>
    </w:p>
    <w:bookmarkEnd w:id="567"/>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20</w:t>
      </w:r>
      <w:r>
        <w:rPr>
          <w:rFonts w:hint="eastAsia" w:ascii="仿宋_GB2312" w:hAnsi="仿宋_GB2312" w:eastAsia="仿宋_GB2312" w:cs="仿宋_GB2312"/>
          <w:i w:val="0"/>
          <w:iCs w:val="0"/>
          <w:sz w:val="21"/>
          <w:szCs w:val="21"/>
          <w:highlight w:val="none"/>
          <w:lang w:eastAsia="zh-CN"/>
        </w:rPr>
        <w:t>）进度管理</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1）</w:t>
      </w:r>
      <w:r>
        <w:rPr>
          <w:rFonts w:hint="eastAsia" w:ascii="仿宋_GB2312" w:hAnsi="仿宋_GB2312" w:eastAsia="仿宋_GB2312" w:cs="仿宋_GB2312"/>
          <w:i w:val="0"/>
          <w:iCs w:val="0"/>
          <w:sz w:val="21"/>
          <w:szCs w:val="21"/>
          <w:highlight w:val="none"/>
          <w:lang w:eastAsia="zh-CN"/>
        </w:rPr>
        <w:t>按照总工期要求，制定项目总进度网络计划，制定分阶段工程进度计划，确定控制节点，提出控制计划目标。</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2）</w:t>
      </w:r>
      <w:r>
        <w:rPr>
          <w:rFonts w:hint="eastAsia" w:ascii="仿宋_GB2312" w:hAnsi="仿宋_GB2312" w:eastAsia="仿宋_GB2312" w:cs="仿宋_GB2312"/>
          <w:i w:val="0"/>
          <w:iCs w:val="0"/>
          <w:sz w:val="21"/>
          <w:szCs w:val="21"/>
          <w:highlight w:val="none"/>
          <w:lang w:eastAsia="zh-CN"/>
        </w:rPr>
        <w:t>督促检查落实各阶段各单位工程进度实施情况。</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3）</w:t>
      </w:r>
      <w:r>
        <w:rPr>
          <w:rFonts w:hint="eastAsia" w:ascii="仿宋_GB2312" w:hAnsi="仿宋_GB2312" w:eastAsia="仿宋_GB2312" w:cs="仿宋_GB2312"/>
          <w:i w:val="0"/>
          <w:iCs w:val="0"/>
          <w:sz w:val="21"/>
          <w:szCs w:val="21"/>
          <w:highlight w:val="none"/>
          <w:lang w:eastAsia="zh-CN"/>
        </w:rPr>
        <w:t>严格按计划进度进行动态管理，一旦发现进度拖期趋向，及时查明原因，并采取相应的积极措施予以调整，确保总工期如期完成。</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68" w:name="_Toc497897315"/>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21</w:t>
      </w:r>
      <w:r>
        <w:rPr>
          <w:rFonts w:hint="eastAsia" w:ascii="仿宋_GB2312" w:hAnsi="仿宋_GB2312" w:eastAsia="仿宋_GB2312" w:cs="仿宋_GB2312"/>
          <w:i w:val="0"/>
          <w:iCs w:val="0"/>
          <w:sz w:val="21"/>
          <w:szCs w:val="21"/>
          <w:highlight w:val="none"/>
          <w:lang w:eastAsia="zh-CN"/>
        </w:rPr>
        <w:t>）质量</w:t>
      </w:r>
      <w:bookmarkEnd w:id="568"/>
      <w:r>
        <w:rPr>
          <w:rFonts w:hint="eastAsia" w:ascii="仿宋_GB2312" w:hAnsi="仿宋_GB2312" w:eastAsia="仿宋_GB2312" w:cs="仿宋_GB2312"/>
          <w:i w:val="0"/>
          <w:iCs w:val="0"/>
          <w:sz w:val="21"/>
          <w:szCs w:val="21"/>
          <w:highlight w:val="none"/>
          <w:lang w:eastAsia="zh-CN"/>
        </w:rPr>
        <w:t>管理</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1）</w:t>
      </w:r>
      <w:r>
        <w:rPr>
          <w:rFonts w:hint="eastAsia" w:ascii="仿宋_GB2312" w:hAnsi="仿宋_GB2312" w:eastAsia="仿宋_GB2312" w:cs="仿宋_GB2312"/>
          <w:i w:val="0"/>
          <w:iCs w:val="0"/>
          <w:sz w:val="21"/>
          <w:szCs w:val="21"/>
          <w:highlight w:val="none"/>
          <w:lang w:eastAsia="zh-CN"/>
        </w:rPr>
        <w:t>承包人应严格按国家或行业部门规定的质量标准要求确定工程质量目标，并制定相应的分解目标，提出相应措施，贯彻到相应的合同中。</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2）</w:t>
      </w:r>
      <w:r>
        <w:rPr>
          <w:rFonts w:hint="eastAsia" w:ascii="仿宋_GB2312" w:hAnsi="仿宋_GB2312" w:eastAsia="仿宋_GB2312" w:cs="仿宋_GB2312"/>
          <w:i w:val="0"/>
          <w:iCs w:val="0"/>
          <w:sz w:val="21"/>
          <w:szCs w:val="21"/>
          <w:highlight w:val="none"/>
          <w:lang w:eastAsia="zh-CN"/>
        </w:rPr>
        <w:t>督促相关单位制定相应的质保体系，及达到相应目标的对策措施。</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3）</w:t>
      </w:r>
      <w:r>
        <w:rPr>
          <w:rFonts w:hint="eastAsia" w:ascii="仿宋_GB2312" w:hAnsi="仿宋_GB2312" w:eastAsia="仿宋_GB2312" w:cs="仿宋_GB2312"/>
          <w:i w:val="0"/>
          <w:iCs w:val="0"/>
          <w:sz w:val="21"/>
          <w:szCs w:val="21"/>
          <w:highlight w:val="none"/>
          <w:lang w:eastAsia="zh-CN"/>
        </w:rPr>
        <w:t>组织相关质量检查和验收。</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4）</w:t>
      </w:r>
      <w:r>
        <w:rPr>
          <w:rFonts w:hint="eastAsia" w:ascii="仿宋_GB2312" w:hAnsi="仿宋_GB2312" w:eastAsia="仿宋_GB2312" w:cs="仿宋_GB2312"/>
          <w:i w:val="0"/>
          <w:iCs w:val="0"/>
          <w:sz w:val="21"/>
          <w:szCs w:val="21"/>
          <w:highlight w:val="none"/>
          <w:lang w:eastAsia="zh-CN"/>
        </w:rPr>
        <w:t>收集、分析和反馈质量信息，并制定纠正措施。</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69" w:name="_Toc497897316"/>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22</w:t>
      </w:r>
      <w:r>
        <w:rPr>
          <w:rFonts w:hint="eastAsia" w:ascii="仿宋_GB2312" w:hAnsi="仿宋_GB2312" w:eastAsia="仿宋_GB2312" w:cs="仿宋_GB2312"/>
          <w:i w:val="0"/>
          <w:iCs w:val="0"/>
          <w:sz w:val="21"/>
          <w:szCs w:val="21"/>
          <w:highlight w:val="none"/>
          <w:lang w:eastAsia="zh-CN"/>
        </w:rPr>
        <w:t>）合同管理</w:t>
      </w:r>
      <w:bookmarkEnd w:id="569"/>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承包人依据项目建设管理总承包合同，负责起草施工及采购合同，组织相应的合同谈判，并和施工单位、供货单位签订相应合同；</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对合同执行进行跟踪管理。</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承包人与第三方签订的各类合同应报发包人备案。</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70" w:name="_Toc497897317"/>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21</w:t>
      </w:r>
      <w:r>
        <w:rPr>
          <w:rFonts w:hint="eastAsia" w:ascii="仿宋_GB2312" w:hAnsi="仿宋_GB2312" w:eastAsia="仿宋_GB2312" w:cs="仿宋_GB2312"/>
          <w:i w:val="0"/>
          <w:iCs w:val="0"/>
          <w:sz w:val="21"/>
          <w:szCs w:val="21"/>
          <w:highlight w:val="none"/>
          <w:lang w:eastAsia="zh-CN"/>
        </w:rPr>
        <w:t>）投资</w:t>
      </w:r>
      <w:bookmarkEnd w:id="570"/>
      <w:r>
        <w:rPr>
          <w:rFonts w:hint="eastAsia" w:ascii="仿宋_GB2312" w:hAnsi="仿宋_GB2312" w:eastAsia="仿宋_GB2312" w:cs="仿宋_GB2312"/>
          <w:i w:val="0"/>
          <w:iCs w:val="0"/>
          <w:sz w:val="21"/>
          <w:szCs w:val="21"/>
          <w:highlight w:val="none"/>
          <w:lang w:eastAsia="zh-CN"/>
        </w:rPr>
        <w:t>管理</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1）</w:t>
      </w:r>
      <w:r>
        <w:rPr>
          <w:rFonts w:hint="eastAsia" w:ascii="仿宋_GB2312" w:hAnsi="仿宋_GB2312" w:eastAsia="仿宋_GB2312" w:cs="仿宋_GB2312"/>
          <w:i w:val="0"/>
          <w:iCs w:val="0"/>
          <w:sz w:val="21"/>
          <w:szCs w:val="21"/>
          <w:highlight w:val="none"/>
          <w:lang w:eastAsia="zh-CN"/>
        </w:rPr>
        <w:t>负责审核施工单位的资金使用计划、施工组织设计、专项方案、工程变更、施工资源配置、进度报表、结算文件等资料。</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val="en-US" w:eastAsia="zh-CN"/>
        </w:rPr>
        <w:t>1）</w:t>
      </w:r>
      <w:r>
        <w:rPr>
          <w:rFonts w:hint="eastAsia" w:ascii="仿宋_GB2312" w:hAnsi="仿宋_GB2312" w:eastAsia="仿宋_GB2312" w:cs="仿宋_GB2312"/>
          <w:i w:val="0"/>
          <w:iCs w:val="0"/>
          <w:sz w:val="21"/>
          <w:szCs w:val="21"/>
          <w:highlight w:val="none"/>
          <w:lang w:eastAsia="zh-CN"/>
        </w:rPr>
        <w:t>严格对工程投资进行控制，按照合同约定承担总价承包责任。</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71" w:name="_Toc497897318"/>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22</w:t>
      </w:r>
      <w:r>
        <w:rPr>
          <w:rFonts w:hint="eastAsia" w:ascii="仿宋_GB2312" w:hAnsi="仿宋_GB2312" w:eastAsia="仿宋_GB2312" w:cs="仿宋_GB2312"/>
          <w:i w:val="0"/>
          <w:iCs w:val="0"/>
          <w:sz w:val="21"/>
          <w:szCs w:val="21"/>
          <w:highlight w:val="none"/>
          <w:lang w:eastAsia="zh-CN"/>
        </w:rPr>
        <w:t>）安全</w:t>
      </w:r>
      <w:bookmarkEnd w:id="571"/>
      <w:r>
        <w:rPr>
          <w:rFonts w:hint="eastAsia" w:ascii="仿宋_GB2312" w:hAnsi="仿宋_GB2312" w:eastAsia="仿宋_GB2312" w:cs="仿宋_GB2312"/>
          <w:i w:val="0"/>
          <w:iCs w:val="0"/>
          <w:sz w:val="21"/>
          <w:szCs w:val="21"/>
          <w:highlight w:val="none"/>
          <w:lang w:eastAsia="zh-CN"/>
        </w:rPr>
        <w:t>管理：承包人应负责工程建设及工程建设有关环节的安全管理工作，组织监理单位审核施工单位的施工安全管理制度、专项施工安全方案，监督安全措施、费用到位情况，检查施工人员安全教育情况、施工保险购买情况及施工单位特种作业持证上岗情况。</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72" w:name="_Toc497897319"/>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23</w:t>
      </w:r>
      <w:r>
        <w:rPr>
          <w:rFonts w:hint="eastAsia" w:ascii="仿宋_GB2312" w:hAnsi="仿宋_GB2312" w:eastAsia="仿宋_GB2312" w:cs="仿宋_GB2312"/>
          <w:i w:val="0"/>
          <w:iCs w:val="0"/>
          <w:sz w:val="21"/>
          <w:szCs w:val="21"/>
          <w:highlight w:val="none"/>
          <w:lang w:eastAsia="zh-CN"/>
        </w:rPr>
        <w:t>）文明施工</w:t>
      </w:r>
      <w:bookmarkEnd w:id="572"/>
      <w:r>
        <w:rPr>
          <w:rFonts w:hint="eastAsia" w:ascii="仿宋_GB2312" w:hAnsi="仿宋_GB2312" w:eastAsia="仿宋_GB2312" w:cs="仿宋_GB2312"/>
          <w:i w:val="0"/>
          <w:iCs w:val="0"/>
          <w:sz w:val="21"/>
          <w:szCs w:val="21"/>
          <w:highlight w:val="none"/>
          <w:lang w:eastAsia="zh-CN"/>
        </w:rPr>
        <w:t>管理：承包人按国家有关规定负责统一管理本工程的文明施工。</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73" w:name="_Toc497897320"/>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24</w:t>
      </w:r>
      <w:r>
        <w:rPr>
          <w:rFonts w:hint="eastAsia" w:ascii="仿宋_GB2312" w:hAnsi="仿宋_GB2312" w:eastAsia="仿宋_GB2312" w:cs="仿宋_GB2312"/>
          <w:i w:val="0"/>
          <w:iCs w:val="0"/>
          <w:sz w:val="21"/>
          <w:szCs w:val="21"/>
          <w:highlight w:val="none"/>
          <w:lang w:eastAsia="zh-CN"/>
        </w:rPr>
        <w:t>）环境保护管理</w:t>
      </w:r>
      <w:bookmarkEnd w:id="573"/>
      <w:r>
        <w:rPr>
          <w:rFonts w:hint="eastAsia" w:ascii="仿宋_GB2312" w:hAnsi="仿宋_GB2312" w:eastAsia="仿宋_GB2312" w:cs="仿宋_GB2312"/>
          <w:i w:val="0"/>
          <w:iCs w:val="0"/>
          <w:sz w:val="21"/>
          <w:szCs w:val="21"/>
          <w:highlight w:val="none"/>
          <w:lang w:eastAsia="zh-CN"/>
        </w:rPr>
        <w:t>：承包人应按环境保护的法律、法规和规章的有关规定，负责本工程环境保护管理工作。</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74" w:name="_Toc497897321"/>
      <w:r>
        <w:rPr>
          <w:rFonts w:hint="eastAsia" w:ascii="仿宋_GB2312" w:hAnsi="仿宋_GB2312" w:eastAsia="仿宋_GB2312" w:cs="仿宋_GB2312"/>
          <w:i w:val="0"/>
          <w:iCs w:val="0"/>
          <w:sz w:val="21"/>
          <w:szCs w:val="21"/>
          <w:highlight w:val="none"/>
          <w:lang w:eastAsia="zh-CN"/>
        </w:rPr>
        <w:t>工程验收</w:t>
      </w:r>
      <w:bookmarkEnd w:id="574"/>
      <w:r>
        <w:rPr>
          <w:rFonts w:hint="eastAsia" w:ascii="仿宋_GB2312" w:hAnsi="仿宋_GB2312" w:eastAsia="仿宋_GB2312" w:cs="仿宋_GB2312"/>
          <w:i w:val="0"/>
          <w:iCs w:val="0"/>
          <w:sz w:val="21"/>
          <w:szCs w:val="21"/>
          <w:highlight w:val="none"/>
          <w:lang w:eastAsia="zh-CN"/>
        </w:rPr>
        <w:t>及结算：在工程实施完毕后，及时向发包人申请工程完工验收，并办理完工结算。承包人协助发包人进行法人验收和政府验收工作。</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75" w:name="_Toc497897322"/>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25</w:t>
      </w:r>
      <w:r>
        <w:rPr>
          <w:rFonts w:hint="eastAsia" w:ascii="仿宋_GB2312" w:hAnsi="仿宋_GB2312" w:eastAsia="仿宋_GB2312" w:cs="仿宋_GB2312"/>
          <w:i w:val="0"/>
          <w:iCs w:val="0"/>
          <w:sz w:val="21"/>
          <w:szCs w:val="21"/>
          <w:highlight w:val="none"/>
          <w:lang w:eastAsia="zh-CN"/>
        </w:rPr>
        <w:t>）工程维护和保修</w:t>
      </w:r>
      <w:bookmarkEnd w:id="575"/>
      <w:r>
        <w:rPr>
          <w:rFonts w:hint="eastAsia" w:ascii="仿宋_GB2312" w:hAnsi="仿宋_GB2312" w:eastAsia="仿宋_GB2312" w:cs="仿宋_GB2312"/>
          <w:i w:val="0"/>
          <w:iCs w:val="0"/>
          <w:sz w:val="21"/>
          <w:szCs w:val="21"/>
          <w:highlight w:val="none"/>
          <w:lang w:eastAsia="zh-CN"/>
        </w:rPr>
        <w:t>：工程未移交发包人前，承包人应负责管理和维护；移交后承包人应承担保修期内（保修期12个月）的缺陷修复工作。若工程移交证书颁发时尚有部分未完工的工程需在保修期内继续完成，则承包人还应负责未完工程的管理和维护工作，直至完工后移交发包人为止，保修期相应顺延。</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76" w:name="_Toc497897323"/>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26</w:t>
      </w:r>
      <w:r>
        <w:rPr>
          <w:rFonts w:hint="eastAsia" w:ascii="仿宋_GB2312" w:hAnsi="仿宋_GB2312" w:eastAsia="仿宋_GB2312" w:cs="仿宋_GB2312"/>
          <w:i w:val="0"/>
          <w:iCs w:val="0"/>
          <w:sz w:val="21"/>
          <w:szCs w:val="21"/>
          <w:highlight w:val="none"/>
          <w:lang w:eastAsia="zh-CN"/>
        </w:rPr>
        <w:t>）完工清场和撤离</w:t>
      </w:r>
      <w:bookmarkEnd w:id="576"/>
      <w:r>
        <w:rPr>
          <w:rFonts w:hint="eastAsia" w:ascii="仿宋_GB2312" w:hAnsi="仿宋_GB2312" w:eastAsia="仿宋_GB2312" w:cs="仿宋_GB2312"/>
          <w:i w:val="0"/>
          <w:iCs w:val="0"/>
          <w:sz w:val="21"/>
          <w:szCs w:val="21"/>
          <w:highlight w:val="none"/>
          <w:lang w:eastAsia="zh-CN"/>
        </w:rPr>
        <w:t>：承包人应在合同工程完工验收后组织施工单位及相关方完成工地清理，并按期撤退人员、设备和剩余材料。</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bookmarkStart w:id="577" w:name="_Toc497897324"/>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27</w:t>
      </w:r>
      <w:r>
        <w:rPr>
          <w:rFonts w:hint="eastAsia" w:ascii="仿宋_GB2312" w:hAnsi="仿宋_GB2312" w:eastAsia="仿宋_GB2312" w:cs="仿宋_GB2312"/>
          <w:i w:val="0"/>
          <w:iCs w:val="0"/>
          <w:sz w:val="21"/>
          <w:szCs w:val="21"/>
          <w:highlight w:val="none"/>
          <w:lang w:eastAsia="zh-CN"/>
        </w:rPr>
        <w:t>）档案</w:t>
      </w:r>
      <w:bookmarkEnd w:id="577"/>
      <w:r>
        <w:rPr>
          <w:rFonts w:hint="eastAsia" w:ascii="仿宋_GB2312" w:hAnsi="仿宋_GB2312" w:eastAsia="仿宋_GB2312" w:cs="仿宋_GB2312"/>
          <w:i w:val="0"/>
          <w:iCs w:val="0"/>
          <w:sz w:val="21"/>
          <w:szCs w:val="21"/>
          <w:highlight w:val="none"/>
          <w:lang w:eastAsia="zh-CN"/>
        </w:rPr>
        <w:t>管理：承包人负责按照相关规范要求对本工程档案进行统一管理，并满足发包人及行业主管部门相关档案验收要求。</w:t>
      </w:r>
    </w:p>
    <w:p>
      <w:pPr>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28</w:t>
      </w:r>
      <w:r>
        <w:rPr>
          <w:rFonts w:hint="eastAsia" w:ascii="仿宋_GB2312" w:hAnsi="仿宋_GB2312" w:eastAsia="仿宋_GB2312" w:cs="仿宋_GB2312"/>
          <w:i w:val="0"/>
          <w:iCs w:val="0"/>
          <w:sz w:val="21"/>
          <w:szCs w:val="21"/>
          <w:highlight w:val="none"/>
          <w:lang w:eastAsia="zh-CN"/>
        </w:rPr>
        <w:t>）工程移交：在合同工程完工验收合格后30日内，发包人应接受承包人的工程移交。</w:t>
      </w:r>
    </w:p>
    <w:p>
      <w:pPr>
        <w:spacing w:line="360" w:lineRule="auto"/>
        <w:ind w:firstLine="420" w:firstLineChars="200"/>
        <w:rPr>
          <w:i w:val="0"/>
          <w:iCs w:val="0"/>
          <w:sz w:val="24"/>
          <w:highlight w:val="none"/>
        </w:rPr>
      </w:pP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lang w:val="en-US" w:eastAsia="zh-CN"/>
        </w:rPr>
        <w:t>29</w:t>
      </w:r>
      <w:r>
        <w:rPr>
          <w:rFonts w:hint="eastAsia" w:ascii="仿宋_GB2312" w:hAnsi="仿宋_GB2312" w:eastAsia="仿宋_GB2312" w:cs="仿宋_GB2312"/>
          <w:i w:val="0"/>
          <w:iCs w:val="0"/>
          <w:sz w:val="21"/>
          <w:szCs w:val="21"/>
          <w:highlight w:val="none"/>
          <w:lang w:eastAsia="zh-CN"/>
        </w:rPr>
        <w:t>）竣工验收：承包人应协助发包人完成工程竣工验收。在合同工程完工验收一年后，且工程保修责任中止，若因非承包人原因导致工程未竣工验收，承包人的项目管理服务期中止，在具备竣工验收条件时，承包人需继续履行合同责任和义务。</w:t>
      </w:r>
    </w:p>
    <w:p>
      <w:pPr>
        <w:snapToGrid w:val="0"/>
        <w:spacing w:before="120" w:beforeLines="50" w:after="120" w:afterLines="50" w:line="360" w:lineRule="auto"/>
        <w:outlineLvl w:val="1"/>
        <w:rPr>
          <w:rFonts w:hint="eastAsia" w:ascii="宋体" w:hAnsi="宋体" w:eastAsia="黑体"/>
          <w:b w:val="0"/>
          <w:bCs/>
          <w:i w:val="0"/>
          <w:iCs w:val="0"/>
          <w:sz w:val="32"/>
          <w:szCs w:val="32"/>
          <w:highlight w:val="none"/>
        </w:rPr>
      </w:pPr>
      <w:bookmarkStart w:id="578" w:name="_Toc33285868"/>
      <w:bookmarkStart w:id="579" w:name="_Toc21531"/>
      <w:r>
        <w:rPr>
          <w:rFonts w:hint="eastAsia" w:ascii="宋体" w:hAnsi="宋体" w:eastAsia="黑体"/>
          <w:b w:val="0"/>
          <w:bCs/>
          <w:i w:val="0"/>
          <w:iCs w:val="0"/>
          <w:sz w:val="32"/>
          <w:szCs w:val="32"/>
          <w:highlight w:val="none"/>
        </w:rPr>
        <w:t>5 工程监理</w:t>
      </w:r>
      <w:bookmarkEnd w:id="578"/>
      <w:bookmarkEnd w:id="579"/>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（1）发包人负责委托监理单位对本工程实施工程施工监理。监理单位按照监理合同的约定对施工单位的施工进度、安全、质量等进行全方位施工监理。</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（2）发包人应负责承包人与监理单位的工作协调。</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（3）监理单位按照发包人的授权，有权对工程资金进行审核，承包人接受监理单位对工程资金的相关审核。</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（4）承包人按照发包人的授权，有权代发包人对监理单位的施工监理工作（除项目资金外）进行监督管理。</w:t>
      </w:r>
    </w:p>
    <w:p>
      <w:pPr>
        <w:snapToGrid w:val="0"/>
        <w:spacing w:before="120" w:beforeLines="50" w:after="120" w:afterLines="50" w:line="360" w:lineRule="auto"/>
        <w:outlineLvl w:val="1"/>
        <w:rPr>
          <w:rFonts w:hint="eastAsia" w:ascii="宋体" w:hAnsi="宋体" w:eastAsia="黑体"/>
          <w:b w:val="0"/>
          <w:bCs/>
          <w:i w:val="0"/>
          <w:iCs w:val="0"/>
          <w:sz w:val="32"/>
          <w:szCs w:val="32"/>
          <w:highlight w:val="none"/>
        </w:rPr>
      </w:pPr>
      <w:bookmarkStart w:id="580" w:name="_Toc33285869"/>
      <w:bookmarkStart w:id="581" w:name="_Toc8527"/>
      <w:r>
        <w:rPr>
          <w:rFonts w:hint="eastAsia" w:ascii="宋体" w:hAnsi="宋体" w:eastAsia="黑体"/>
          <w:b w:val="0"/>
          <w:bCs/>
          <w:i w:val="0"/>
          <w:iCs w:val="0"/>
          <w:sz w:val="32"/>
          <w:szCs w:val="32"/>
          <w:highlight w:val="none"/>
        </w:rPr>
        <w:t>6合同价格</w:t>
      </w:r>
      <w:bookmarkEnd w:id="580"/>
      <w:bookmarkEnd w:id="581"/>
    </w:p>
    <w:p>
      <w:pPr>
        <w:spacing w:line="360" w:lineRule="auto"/>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6.1签约合同价格</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项目管理总承包暂定合同价格为人民币（大写）：***万元（小写金额：***万元），其中：承包人的项目管理服务费按可研批复估算中建设管理费的**%计列，为人民币（大写）:***万元（小写金额：***万元）；工程建设费按可研批复估算中对应项目综合下浮**%，为人民币（大写）：***万元（小写金额：***万元）。</w:t>
      </w:r>
    </w:p>
    <w:p>
      <w:pPr>
        <w:pStyle w:val="119"/>
        <w:tabs>
          <w:tab w:val="left" w:pos="3220"/>
        </w:tabs>
        <w:spacing w:line="360" w:lineRule="auto"/>
        <w:ind w:firstLine="420" w:firstLineChars="200"/>
        <w:jc w:val="both"/>
        <w:rPr>
          <w:rFonts w:hint="eastAsia" w:ascii="仿宋_GB2312" w:hAnsi="仿宋_GB2312" w:eastAsia="仿宋_GB2312" w:cs="仿宋_GB2312"/>
          <w:b/>
          <w:i w:val="0"/>
          <w:iCs w:val="0"/>
          <w:color w:val="auto"/>
          <w:sz w:val="21"/>
          <w:szCs w:val="21"/>
          <w:highlight w:val="none"/>
        </w:rPr>
      </w:pPr>
      <w:r>
        <w:rPr>
          <w:rFonts w:hint="eastAsia" w:ascii="仿宋_GB2312" w:hAnsi="仿宋_GB2312" w:eastAsia="仿宋_GB2312" w:cs="仿宋_GB2312"/>
          <w:i w:val="0"/>
          <w:iCs w:val="0"/>
          <w:color w:val="auto"/>
          <w:sz w:val="21"/>
          <w:szCs w:val="21"/>
          <w:highlight w:val="none"/>
        </w:rPr>
        <w:t>项目管理总承包签约合同价格：项目管理费为初设批复概算中建设管理费的</w:t>
      </w:r>
      <w:r>
        <w:rPr>
          <w:rFonts w:hint="eastAsia" w:ascii="仿宋_GB2312" w:hAnsi="仿宋_GB2312" w:eastAsia="仿宋_GB2312" w:cs="仿宋_GB2312"/>
          <w:i w:val="0"/>
          <w:iCs w:val="0"/>
          <w:color w:val="auto"/>
          <w:sz w:val="21"/>
          <w:szCs w:val="21"/>
          <w:highlight w:val="none"/>
          <w:u w:val="single"/>
        </w:rPr>
        <w:t>**</w:t>
      </w:r>
      <w:r>
        <w:rPr>
          <w:rFonts w:hint="eastAsia" w:ascii="仿宋_GB2312" w:hAnsi="仿宋_GB2312" w:eastAsia="仿宋_GB2312" w:cs="仿宋_GB2312"/>
          <w:i w:val="0"/>
          <w:iCs w:val="0"/>
          <w:color w:val="auto"/>
          <w:sz w:val="21"/>
          <w:szCs w:val="21"/>
          <w:highlight w:val="none"/>
        </w:rPr>
        <w:t>%；工程建设费为初设批复概算中对应项目下浮</w:t>
      </w:r>
      <w:r>
        <w:rPr>
          <w:rFonts w:hint="eastAsia" w:ascii="仿宋_GB2312" w:hAnsi="仿宋_GB2312" w:eastAsia="仿宋_GB2312" w:cs="仿宋_GB2312"/>
          <w:i w:val="0"/>
          <w:iCs w:val="0"/>
          <w:color w:val="auto"/>
          <w:sz w:val="21"/>
          <w:szCs w:val="21"/>
          <w:highlight w:val="none"/>
          <w:u w:val="single"/>
        </w:rPr>
        <w:t>**</w:t>
      </w:r>
      <w:r>
        <w:rPr>
          <w:rFonts w:hint="eastAsia" w:ascii="仿宋_GB2312" w:hAnsi="仿宋_GB2312" w:eastAsia="仿宋_GB2312" w:cs="仿宋_GB2312"/>
          <w:i w:val="0"/>
          <w:iCs w:val="0"/>
          <w:color w:val="auto"/>
          <w:sz w:val="21"/>
          <w:szCs w:val="21"/>
          <w:highlight w:val="none"/>
        </w:rPr>
        <w:t>%，具体金额在补充合同中确定。</w:t>
      </w:r>
      <w:r>
        <w:rPr>
          <w:rFonts w:hint="eastAsia" w:ascii="仿宋_GB2312" w:hAnsi="仿宋_GB2312" w:eastAsia="仿宋_GB2312" w:cs="仿宋_GB2312"/>
          <w:b/>
          <w:i w:val="0"/>
          <w:iCs w:val="0"/>
          <w:color w:val="auto"/>
          <w:sz w:val="21"/>
          <w:szCs w:val="21"/>
          <w:highlight w:val="none"/>
        </w:rPr>
        <w:t>（以上适用于可研阶段招标）</w:t>
      </w:r>
    </w:p>
    <w:p>
      <w:pPr>
        <w:pStyle w:val="119"/>
        <w:tabs>
          <w:tab w:val="left" w:pos="3220"/>
        </w:tabs>
        <w:spacing w:line="360" w:lineRule="auto"/>
        <w:ind w:firstLine="420" w:firstLineChars="200"/>
        <w:jc w:val="both"/>
        <w:rPr>
          <w:rFonts w:hint="eastAsia" w:ascii="仿宋_GB2312" w:hAnsi="仿宋_GB2312" w:eastAsia="仿宋_GB2312" w:cs="仿宋_GB2312"/>
          <w:i w:val="0"/>
          <w:iCs w:val="0"/>
          <w:color w:val="auto"/>
          <w:sz w:val="21"/>
          <w:szCs w:val="21"/>
          <w:highlight w:val="none"/>
        </w:rPr>
      </w:pPr>
      <w:r>
        <w:rPr>
          <w:rFonts w:hint="eastAsia" w:ascii="仿宋_GB2312" w:hAnsi="仿宋_GB2312" w:eastAsia="仿宋_GB2312" w:cs="仿宋_GB2312"/>
          <w:i w:val="0"/>
          <w:iCs w:val="0"/>
          <w:color w:val="auto"/>
          <w:sz w:val="21"/>
          <w:szCs w:val="21"/>
          <w:highlight w:val="none"/>
        </w:rPr>
        <w:t>项目管理总承包签约合同价格：项目管理费为初设批复概算中建设管理费的</w:t>
      </w:r>
      <w:r>
        <w:rPr>
          <w:rFonts w:hint="eastAsia" w:ascii="仿宋_GB2312" w:hAnsi="仿宋_GB2312" w:eastAsia="仿宋_GB2312" w:cs="仿宋_GB2312"/>
          <w:i w:val="0"/>
          <w:iCs w:val="0"/>
          <w:color w:val="auto"/>
          <w:sz w:val="21"/>
          <w:szCs w:val="21"/>
          <w:highlight w:val="none"/>
          <w:u w:val="single"/>
        </w:rPr>
        <w:t>**</w:t>
      </w:r>
      <w:r>
        <w:rPr>
          <w:rFonts w:hint="eastAsia" w:ascii="仿宋_GB2312" w:hAnsi="仿宋_GB2312" w:eastAsia="仿宋_GB2312" w:cs="仿宋_GB2312"/>
          <w:i w:val="0"/>
          <w:iCs w:val="0"/>
          <w:color w:val="auto"/>
          <w:sz w:val="21"/>
          <w:szCs w:val="21"/>
          <w:highlight w:val="none"/>
        </w:rPr>
        <w:t>%，即人民币（大写）：</w:t>
      </w:r>
      <w:r>
        <w:rPr>
          <w:rFonts w:hint="eastAsia" w:ascii="仿宋_GB2312" w:hAnsi="仿宋_GB2312" w:eastAsia="仿宋_GB2312" w:cs="仿宋_GB2312"/>
          <w:i w:val="0"/>
          <w:iCs w:val="0"/>
          <w:color w:val="auto"/>
          <w:sz w:val="21"/>
          <w:szCs w:val="21"/>
          <w:highlight w:val="none"/>
          <w:u w:val="single"/>
        </w:rPr>
        <w:t>***万</w:t>
      </w:r>
      <w:r>
        <w:rPr>
          <w:rFonts w:hint="eastAsia" w:ascii="仿宋_GB2312" w:hAnsi="仿宋_GB2312" w:eastAsia="仿宋_GB2312" w:cs="仿宋_GB2312"/>
          <w:i w:val="0"/>
          <w:iCs w:val="0"/>
          <w:color w:val="auto"/>
          <w:sz w:val="21"/>
          <w:szCs w:val="21"/>
          <w:highlight w:val="none"/>
        </w:rPr>
        <w:t>元（小写金额：</w:t>
      </w:r>
      <w:r>
        <w:rPr>
          <w:rFonts w:hint="eastAsia" w:ascii="仿宋_GB2312" w:hAnsi="仿宋_GB2312" w:eastAsia="仿宋_GB2312" w:cs="仿宋_GB2312"/>
          <w:i w:val="0"/>
          <w:iCs w:val="0"/>
          <w:color w:val="auto"/>
          <w:sz w:val="21"/>
          <w:szCs w:val="21"/>
          <w:highlight w:val="none"/>
          <w:u w:val="single"/>
        </w:rPr>
        <w:t>***</w:t>
      </w:r>
      <w:r>
        <w:rPr>
          <w:rFonts w:hint="eastAsia" w:ascii="仿宋_GB2312" w:hAnsi="仿宋_GB2312" w:eastAsia="仿宋_GB2312" w:cs="仿宋_GB2312"/>
          <w:i w:val="0"/>
          <w:iCs w:val="0"/>
          <w:color w:val="auto"/>
          <w:sz w:val="21"/>
          <w:szCs w:val="21"/>
          <w:highlight w:val="none"/>
        </w:rPr>
        <w:t>万元）；工程建设费为初设批复概算中对应项目下浮</w:t>
      </w:r>
      <w:r>
        <w:rPr>
          <w:rFonts w:hint="eastAsia" w:ascii="仿宋_GB2312" w:hAnsi="仿宋_GB2312" w:eastAsia="仿宋_GB2312" w:cs="仿宋_GB2312"/>
          <w:i w:val="0"/>
          <w:iCs w:val="0"/>
          <w:color w:val="auto"/>
          <w:sz w:val="21"/>
          <w:szCs w:val="21"/>
          <w:highlight w:val="none"/>
          <w:u w:val="single"/>
        </w:rPr>
        <w:t>**</w:t>
      </w:r>
      <w:r>
        <w:rPr>
          <w:rFonts w:hint="eastAsia" w:ascii="仿宋_GB2312" w:hAnsi="仿宋_GB2312" w:eastAsia="仿宋_GB2312" w:cs="仿宋_GB2312"/>
          <w:i w:val="0"/>
          <w:iCs w:val="0"/>
          <w:color w:val="auto"/>
          <w:sz w:val="21"/>
          <w:szCs w:val="21"/>
          <w:highlight w:val="none"/>
        </w:rPr>
        <w:t>%，即人民币（大写）：</w:t>
      </w:r>
      <w:r>
        <w:rPr>
          <w:rFonts w:hint="eastAsia" w:ascii="仿宋_GB2312" w:hAnsi="仿宋_GB2312" w:eastAsia="仿宋_GB2312" w:cs="仿宋_GB2312"/>
          <w:i w:val="0"/>
          <w:iCs w:val="0"/>
          <w:color w:val="auto"/>
          <w:sz w:val="21"/>
          <w:szCs w:val="21"/>
          <w:highlight w:val="none"/>
          <w:u w:val="single"/>
        </w:rPr>
        <w:t>***万</w:t>
      </w:r>
      <w:r>
        <w:rPr>
          <w:rFonts w:hint="eastAsia" w:ascii="仿宋_GB2312" w:hAnsi="仿宋_GB2312" w:eastAsia="仿宋_GB2312" w:cs="仿宋_GB2312"/>
          <w:i w:val="0"/>
          <w:iCs w:val="0"/>
          <w:color w:val="auto"/>
          <w:sz w:val="21"/>
          <w:szCs w:val="21"/>
          <w:highlight w:val="none"/>
        </w:rPr>
        <w:t>元（小写金额：</w:t>
      </w:r>
      <w:r>
        <w:rPr>
          <w:rFonts w:hint="eastAsia" w:ascii="仿宋_GB2312" w:hAnsi="仿宋_GB2312" w:eastAsia="仿宋_GB2312" w:cs="仿宋_GB2312"/>
          <w:i w:val="0"/>
          <w:iCs w:val="0"/>
          <w:color w:val="auto"/>
          <w:sz w:val="21"/>
          <w:szCs w:val="21"/>
          <w:highlight w:val="none"/>
          <w:u w:val="single"/>
        </w:rPr>
        <w:t>***</w:t>
      </w:r>
      <w:r>
        <w:rPr>
          <w:rFonts w:hint="eastAsia" w:ascii="仿宋_GB2312" w:hAnsi="仿宋_GB2312" w:eastAsia="仿宋_GB2312" w:cs="仿宋_GB2312"/>
          <w:i w:val="0"/>
          <w:iCs w:val="0"/>
          <w:color w:val="auto"/>
          <w:sz w:val="21"/>
          <w:szCs w:val="21"/>
          <w:highlight w:val="none"/>
        </w:rPr>
        <w:t>万元）。</w:t>
      </w:r>
      <w:r>
        <w:rPr>
          <w:rFonts w:hint="eastAsia" w:ascii="仿宋_GB2312" w:hAnsi="仿宋_GB2312" w:eastAsia="仿宋_GB2312" w:cs="仿宋_GB2312"/>
          <w:b/>
          <w:i w:val="0"/>
          <w:iCs w:val="0"/>
          <w:color w:val="auto"/>
          <w:sz w:val="21"/>
          <w:szCs w:val="21"/>
          <w:highlight w:val="none"/>
        </w:rPr>
        <w:t>（以上适用于初设阶段招标）</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在签约合同价格范围内超支不补，结余归承包人。</w:t>
      </w:r>
    </w:p>
    <w:p>
      <w:pPr>
        <w:snapToGrid w:val="0"/>
        <w:spacing w:line="360" w:lineRule="auto"/>
        <w:outlineLvl w:val="2"/>
        <w:rPr>
          <w:rFonts w:hint="eastAsia" w:ascii="黑体" w:hAnsi="黑体" w:eastAsia="黑体" w:cs="黑体"/>
          <w:b w:val="0"/>
          <w:bCs/>
          <w:i w:val="0"/>
          <w:iCs w:val="0"/>
          <w:color w:val="auto"/>
          <w:kern w:val="2"/>
          <w:sz w:val="28"/>
          <w:szCs w:val="28"/>
          <w:highlight w:val="none"/>
          <w:lang w:val="en-US" w:eastAsia="zh-CN" w:bidi="ar-SA"/>
        </w:rPr>
      </w:pPr>
      <w:r>
        <w:rPr>
          <w:rFonts w:hint="eastAsia" w:ascii="黑体" w:hAnsi="黑体" w:eastAsia="黑体" w:cs="黑体"/>
          <w:b w:val="0"/>
          <w:bCs/>
          <w:i w:val="0"/>
          <w:iCs w:val="0"/>
          <w:color w:val="auto"/>
          <w:kern w:val="2"/>
          <w:sz w:val="28"/>
          <w:szCs w:val="28"/>
          <w:highlight w:val="none"/>
          <w:lang w:val="en-US" w:eastAsia="zh-CN" w:bidi="ar-SA"/>
        </w:rPr>
        <w:t>6.2 合同价格调整</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6.1.1 合同价格为承包人按合同约定完成了包括质量保修期内的全部工作后，发包人应付给承包人的所有价款，包括在履行合同过程中按合同约定进行的变更和调整。</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6.2.2合同价格包括承包人对工程进行正常项目建设和管理所必需的所有费用和利润，承担本工程发生的一般设计变更引起的费用风险。除以下情形外，签约合同价格不做调整：</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（1）国家政策性因素、不可抗力、设计漏项、经批准的重大设计变更等原因引起的相关费用变化；</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（2）因发包人要求增减工程建设内容；</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（3）本合同约定的物价价差调整；</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（4）经双方协商同意的其他情形。</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 xml:space="preserve">6.2.3合同价格调整，按下列方式执行： </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（1）国家政策性因素、不可抗力、设计漏项、经批准的重大设计变更等原因引起的相关合同价格变化，增加的由发包人承担并相应调增合同价格，减少的相应调减合同价格。</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（2）因发包人要求调整工程建设内容引起的合同价格变化，对于取消的项目，相应调减合同价格；对于增加的项目，增加的投资由发包人承担，并相应调增合同价格，新增项目单价按以下原则计算：</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① 合同已有适用项目单价的，执行已有合同单价；</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② 合同中有类似项目单价的，参照合同中类似项目单价执行；</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③ 合同中既没有适用项目又没有类似项目单价时，由承包人按初设概算的计价原则提出合理的单价，经监理审核发包人批准后执行。</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（3）价差调整</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在本合同履行期间，主要材料（水泥、钢筋、钢材、管材、柴油、炸药、砂石骨料等）在采购时，其价格与该工程批复的初步设计概算相比，材料价格涨跌超过±5%时，分别进行价差调整。价格浮动在±5%内的不调整，价格浮动小于-5%的部分的合同价格将作调减，大于5%的部分的合同价格将作调增。调整原则：</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①基期价格：初步设计概算批复的主要材料价格；</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②当期价格：施工期同期当地或相邻地区发布的工程造价信息；</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③调差公式：价格调增=（当期价格 - 1.05*基期价格）*（1+税率）；</w:t>
      </w:r>
    </w:p>
    <w:p>
      <w:pPr>
        <w:spacing w:line="360" w:lineRule="auto"/>
        <w:ind w:firstLine="1610" w:firstLineChars="767"/>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价格调减=（0.95*基期价格-当期价格）*（1+税率）；</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④每半年调整一次。</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（4）经双方协商同意调整合同价格的其他情形，双方协商后通过补充协议确定。</w:t>
      </w:r>
    </w:p>
    <w:p>
      <w:pPr>
        <w:snapToGrid w:val="0"/>
        <w:spacing w:line="360" w:lineRule="auto"/>
        <w:outlineLvl w:val="2"/>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6.3履约担保</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履约担保的形式：银行汇票、支票、现钞及银行或发包人同意的第三方担保机构出具的履约保函。</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履约担保的金额：签约合同价的5%。自合同签订之日起30 日内由承包人提交履约保函给发包人，若逾期承包人未向发包人提交保函，则发包人有权终止本合同。</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保函期限：自保函生效之日起至工程完工验收合格。发包人应在工程完工证书颁发后30天内将履约保函返还给承包人。</w:t>
      </w:r>
    </w:p>
    <w:p>
      <w:pPr>
        <w:snapToGrid w:val="0"/>
        <w:spacing w:line="360" w:lineRule="auto"/>
        <w:outlineLvl w:val="2"/>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6.4工程基本预备费</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为弥补合同约定范围内难以预料而实际可能发生的费用，不足部分可动用工程基本预备费。其主要范围如下：</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（1）因工程地质、水文地质条件与初步设计发生变化引起的方案变动，导致增加的费用；</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（2）由于不可抗力的自然灾害所造成的损失（扣减工程保险赔付额）和预防自然灾害所采取的措施费用；</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（3）价差调整引起的费用增加；</w:t>
      </w:r>
    </w:p>
    <w:p>
      <w:pPr>
        <w:spacing w:line="360" w:lineRule="auto"/>
        <w:ind w:firstLine="420" w:firstLineChars="200"/>
        <w:rPr>
          <w:rFonts w:ascii="Calibri" w:hAnsi="Calibri"/>
          <w:i w:val="0"/>
          <w:iCs w:val="0"/>
          <w:sz w:val="24"/>
          <w:szCs w:val="22"/>
          <w:highlight w:val="none"/>
        </w:rPr>
      </w:pPr>
      <w:r>
        <w:rPr>
          <w:rFonts w:hint="eastAsia" w:ascii="仿宋_GB2312" w:hAnsi="仿宋_GB2312" w:eastAsia="仿宋_GB2312" w:cs="仿宋_GB2312"/>
          <w:i w:val="0"/>
          <w:iCs w:val="0"/>
          <w:sz w:val="21"/>
          <w:szCs w:val="21"/>
          <w:highlight w:val="none"/>
        </w:rPr>
        <w:t>（4）其他可动用工程预备费情况。</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582" w:name="_Toc33285870"/>
      <w:bookmarkStart w:id="583" w:name="_Toc11687"/>
      <w:r>
        <w:rPr>
          <w:rFonts w:hint="eastAsia" w:ascii="黑体" w:hAnsi="黑体" w:eastAsia="黑体" w:cs="黑体"/>
          <w:b w:val="0"/>
          <w:bCs/>
          <w:i w:val="0"/>
          <w:iCs w:val="0"/>
          <w:sz w:val="32"/>
          <w:szCs w:val="32"/>
          <w:highlight w:val="none"/>
        </w:rPr>
        <w:t>7价款支付</w:t>
      </w:r>
      <w:bookmarkEnd w:id="582"/>
      <w:bookmarkEnd w:id="583"/>
    </w:p>
    <w:p>
      <w:pPr>
        <w:snapToGrid w:val="0"/>
        <w:spacing w:line="360" w:lineRule="auto"/>
        <w:outlineLvl w:val="2"/>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7.1项目管理费支付</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在合同签订后21日内发包人向承包人支付暂定合同价格</w:t>
      </w:r>
      <w:r>
        <w:rPr>
          <w:rFonts w:hint="eastAsia" w:ascii="仿宋_GB2312" w:hAnsi="仿宋_GB2312" w:eastAsia="仿宋_GB2312" w:cs="仿宋_GB2312"/>
          <w:i w:val="0"/>
          <w:iCs w:val="0"/>
          <w:sz w:val="21"/>
          <w:szCs w:val="21"/>
          <w:highlight w:val="none"/>
          <w:lang w:eastAsia="zh-CN"/>
        </w:rPr>
        <w:t>（或</w:t>
      </w:r>
      <w:r>
        <w:rPr>
          <w:rFonts w:hint="eastAsia" w:ascii="仿宋_GB2312" w:hAnsi="仿宋_GB2312" w:eastAsia="仿宋_GB2312" w:cs="仿宋_GB2312"/>
          <w:i w:val="0"/>
          <w:iCs w:val="0"/>
          <w:sz w:val="21"/>
          <w:szCs w:val="21"/>
          <w:highlight w:val="none"/>
        </w:rPr>
        <w:t>签约合同价</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中项目管理费的20%，余下部分按工程进度同比例每半年支付一次，完工验收时支付到97%，剩余3%转为质量保证金，承包人提交等额质量保证金保函后，发包人予以支付。</w:t>
      </w:r>
    </w:p>
    <w:p>
      <w:pPr>
        <w:snapToGrid w:val="0"/>
        <w:spacing w:line="360" w:lineRule="auto"/>
        <w:ind w:firstLine="420" w:firstLineChars="200"/>
        <w:rPr>
          <w:rFonts w:hint="eastAsia" w:ascii="仿宋_GB2312" w:hAnsi="仿宋_GB2312" w:eastAsia="仿宋_GB2312" w:cs="仿宋_GB2312"/>
          <w:i w:val="0"/>
          <w:iCs w:val="0"/>
          <w:sz w:val="21"/>
          <w:szCs w:val="21"/>
          <w:highlight w:val="none"/>
          <w:lang w:eastAsia="zh-CN"/>
        </w:rPr>
      </w:pPr>
      <w:r>
        <w:rPr>
          <w:rFonts w:hint="eastAsia" w:ascii="仿宋_GB2312" w:hAnsi="仿宋_GB2312" w:eastAsia="仿宋_GB2312" w:cs="仿宋_GB2312"/>
          <w:i w:val="0"/>
          <w:iCs w:val="0"/>
          <w:sz w:val="21"/>
          <w:szCs w:val="21"/>
          <w:highlight w:val="none"/>
          <w:lang w:eastAsia="zh-CN"/>
        </w:rPr>
        <w:t>发包人支付相关款项前，承包人应当根据发包人要求开具合法有效的增值税发票。</w:t>
      </w:r>
    </w:p>
    <w:p>
      <w:pPr>
        <w:snapToGrid w:val="0"/>
        <w:spacing w:line="360" w:lineRule="auto"/>
        <w:outlineLvl w:val="2"/>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7.2工程预付款</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（1）工程预付款金额：暂定合同价格</w:t>
      </w:r>
      <w:r>
        <w:rPr>
          <w:rFonts w:hint="eastAsia" w:ascii="仿宋_GB2312" w:hAnsi="仿宋_GB2312" w:eastAsia="仿宋_GB2312" w:cs="仿宋_GB2312"/>
          <w:i w:val="0"/>
          <w:iCs w:val="0"/>
          <w:sz w:val="21"/>
          <w:szCs w:val="21"/>
          <w:highlight w:val="none"/>
          <w:lang w:eastAsia="zh-CN"/>
        </w:rPr>
        <w:t>（或</w:t>
      </w:r>
      <w:r>
        <w:rPr>
          <w:rFonts w:hint="eastAsia" w:ascii="仿宋_GB2312" w:hAnsi="仿宋_GB2312" w:eastAsia="仿宋_GB2312" w:cs="仿宋_GB2312"/>
          <w:i w:val="0"/>
          <w:iCs w:val="0"/>
          <w:sz w:val="21"/>
          <w:szCs w:val="21"/>
          <w:highlight w:val="none"/>
        </w:rPr>
        <w:t>签约合同价</w:t>
      </w:r>
      <w:r>
        <w:rPr>
          <w:rFonts w:hint="eastAsia" w:ascii="仿宋_GB2312" w:hAnsi="仿宋_GB2312" w:eastAsia="仿宋_GB2312" w:cs="仿宋_GB2312"/>
          <w:i w:val="0"/>
          <w:iCs w:val="0"/>
          <w:sz w:val="21"/>
          <w:szCs w:val="21"/>
          <w:highlight w:val="none"/>
          <w:lang w:eastAsia="zh-CN"/>
        </w:rPr>
        <w:t>）</w:t>
      </w:r>
      <w:r>
        <w:rPr>
          <w:rFonts w:hint="eastAsia" w:ascii="仿宋_GB2312" w:hAnsi="仿宋_GB2312" w:eastAsia="仿宋_GB2312" w:cs="仿宋_GB2312"/>
          <w:i w:val="0"/>
          <w:iCs w:val="0"/>
          <w:sz w:val="21"/>
          <w:szCs w:val="21"/>
          <w:highlight w:val="none"/>
        </w:rPr>
        <w:t>中工程建设费的20%。</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（2）工程预付款支付方式：在合同签订后21个工作日内支付。</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（3）工程预付款扣回方式：根据工程进度等比例扣回，工程进度款累计支付达到签约合同价格的30%时起扣，至90%扣完。</w:t>
      </w:r>
    </w:p>
    <w:p>
      <w:pPr>
        <w:snapToGrid w:val="0"/>
        <w:spacing w:line="360" w:lineRule="auto"/>
        <w:ind w:firstLine="420" w:firstLineChars="200"/>
        <w:rPr>
          <w:rFonts w:ascii="宋体" w:hAnsi="宋体" w:cs="宋体"/>
          <w:i w:val="0"/>
          <w:iCs w:val="0"/>
          <w:sz w:val="24"/>
          <w:highlight w:val="none"/>
        </w:rPr>
      </w:pPr>
      <w:r>
        <w:rPr>
          <w:rFonts w:hint="eastAsia" w:ascii="仿宋_GB2312" w:hAnsi="仿宋_GB2312" w:eastAsia="仿宋_GB2312" w:cs="仿宋_GB2312"/>
          <w:i w:val="0"/>
          <w:iCs w:val="0"/>
          <w:sz w:val="21"/>
          <w:szCs w:val="21"/>
          <w:highlight w:val="none"/>
        </w:rPr>
        <w:t>（4）工程预付款担保：预付款支付前，承包人应提交等金额预付款担保。</w:t>
      </w:r>
    </w:p>
    <w:p>
      <w:pPr>
        <w:snapToGrid w:val="0"/>
        <w:spacing w:line="360" w:lineRule="auto"/>
        <w:outlineLvl w:val="2"/>
        <w:rPr>
          <w:rFonts w:hint="eastAsia" w:ascii="黑体" w:hAnsi="黑体" w:eastAsia="黑体" w:cs="黑体"/>
          <w:b w:val="0"/>
          <w:bCs/>
          <w:i w:val="0"/>
          <w:iCs w:val="0"/>
          <w:sz w:val="28"/>
          <w:szCs w:val="28"/>
          <w:highlight w:val="none"/>
        </w:rPr>
      </w:pPr>
      <w:r>
        <w:rPr>
          <w:rFonts w:hint="eastAsia" w:ascii="黑体" w:hAnsi="黑体" w:eastAsia="黑体" w:cs="黑体"/>
          <w:b w:val="0"/>
          <w:bCs/>
          <w:i w:val="0"/>
          <w:iCs w:val="0"/>
          <w:sz w:val="28"/>
          <w:szCs w:val="28"/>
          <w:highlight w:val="none"/>
        </w:rPr>
        <w:t>7.3工程进度款的支付</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（1）临时工程进度款实行总价计价，按照临时工程形象进度（或工程审定节点）完成并经检验合格后进行支付。</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（2）主体工程进度款以招标文件工程量清单四级编号（工程或费用项目）总价进行控制。四级编号项目完成时，根据形象进度按照四级编号总价进行结算。</w:t>
      </w:r>
    </w:p>
    <w:p>
      <w:pPr>
        <w:snapToGrid w:val="0"/>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四级编号说明如下表：</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8"/>
        <w:gridCol w:w="4192"/>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编号</w:t>
            </w:r>
          </w:p>
        </w:tc>
        <w:tc>
          <w:tcPr>
            <w:tcW w:w="2257"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项目名称</w:t>
            </w:r>
          </w:p>
        </w:tc>
        <w:tc>
          <w:tcPr>
            <w:tcW w:w="1667"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编号级别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p>
        </w:tc>
        <w:tc>
          <w:tcPr>
            <w:tcW w:w="2257" w:type="pct"/>
            <w:noWrap w:val="0"/>
            <w:vAlign w:val="top"/>
          </w:tcPr>
          <w:p>
            <w:pPr>
              <w:spacing w:line="360" w:lineRule="auto"/>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第一部分：建筑工程</w:t>
            </w:r>
          </w:p>
        </w:tc>
        <w:tc>
          <w:tcPr>
            <w:tcW w:w="1667"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一级编号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一</w:t>
            </w:r>
          </w:p>
        </w:tc>
        <w:tc>
          <w:tcPr>
            <w:tcW w:w="2257" w:type="pct"/>
            <w:noWrap w:val="0"/>
            <w:vAlign w:val="top"/>
          </w:tcPr>
          <w:p>
            <w:pPr>
              <w:spacing w:line="360" w:lineRule="auto"/>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挡水工程</w:t>
            </w:r>
          </w:p>
        </w:tc>
        <w:tc>
          <w:tcPr>
            <w:tcW w:w="1667"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二级编号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76"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（一）</w:t>
            </w:r>
          </w:p>
        </w:tc>
        <w:tc>
          <w:tcPr>
            <w:tcW w:w="2257" w:type="pct"/>
            <w:noWrap w:val="0"/>
            <w:vAlign w:val="top"/>
          </w:tcPr>
          <w:p>
            <w:pPr>
              <w:spacing w:line="360" w:lineRule="auto"/>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混凝土面板堆石坝工程</w:t>
            </w:r>
          </w:p>
        </w:tc>
        <w:tc>
          <w:tcPr>
            <w:tcW w:w="1667"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三级编号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p>
        </w:tc>
        <w:tc>
          <w:tcPr>
            <w:tcW w:w="2257" w:type="pct"/>
            <w:noWrap w:val="0"/>
            <w:vAlign w:val="top"/>
          </w:tcPr>
          <w:p>
            <w:pPr>
              <w:spacing w:line="360" w:lineRule="auto"/>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土方开挖</w:t>
            </w:r>
          </w:p>
        </w:tc>
        <w:tc>
          <w:tcPr>
            <w:tcW w:w="1667"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四级编号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 …</w:t>
            </w:r>
          </w:p>
        </w:tc>
        <w:tc>
          <w:tcPr>
            <w:tcW w:w="2257" w:type="pct"/>
            <w:noWrap w:val="0"/>
            <w:vAlign w:val="top"/>
          </w:tcPr>
          <w:p>
            <w:pPr>
              <w:spacing w:line="360" w:lineRule="auto"/>
              <w:rPr>
                <w:rFonts w:hint="eastAsia" w:ascii="仿宋_GB2312" w:hAnsi="仿宋_GB2312" w:eastAsia="仿宋_GB2312" w:cs="仿宋_GB2312"/>
                <w:i w:val="0"/>
                <w:iCs w:val="0"/>
                <w:sz w:val="18"/>
                <w:szCs w:val="18"/>
                <w:highlight w:val="none"/>
                <w:lang w:eastAsia="en-US"/>
              </w:rPr>
            </w:pPr>
            <w:r>
              <w:rPr>
                <w:rFonts w:hint="eastAsia" w:ascii="仿宋_GB2312" w:hAnsi="仿宋_GB2312" w:eastAsia="仿宋_GB2312" w:cs="仿宋_GB2312"/>
                <w:i w:val="0"/>
                <w:iCs w:val="0"/>
                <w:sz w:val="18"/>
                <w:szCs w:val="18"/>
                <w:highlight w:val="none"/>
                <w:lang w:eastAsia="en-US"/>
              </w:rPr>
              <w:t>… …</w:t>
            </w:r>
          </w:p>
        </w:tc>
        <w:tc>
          <w:tcPr>
            <w:tcW w:w="1667" w:type="pct"/>
            <w:noWrap w:val="0"/>
            <w:vAlign w:val="center"/>
          </w:tcPr>
          <w:p>
            <w:pPr>
              <w:spacing w:line="360" w:lineRule="auto"/>
              <w:jc w:val="center"/>
              <w:rPr>
                <w:rFonts w:hint="eastAsia" w:ascii="仿宋_GB2312" w:hAnsi="仿宋_GB2312" w:eastAsia="仿宋_GB2312" w:cs="仿宋_GB2312"/>
                <w:i w:val="0"/>
                <w:iCs w:val="0"/>
                <w:sz w:val="18"/>
                <w:szCs w:val="18"/>
                <w:highlight w:val="none"/>
                <w:lang w:eastAsia="en-US"/>
              </w:rPr>
            </w:pPr>
          </w:p>
        </w:tc>
      </w:tr>
    </w:tbl>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建筑安装工程进度款按审核完成的月进度工程量报表进行支付，每月20日承包人将经监理审核后的当月进度报表报发包人审批，发包人批复后在14日内支付。完工验收合格后累计支付至建筑安装工程合同价格的97%。</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机电及金属结构设备价款按照以下原则进行支付：设备完成招标后支付相应设备合同价款总额的30%，设备到场后累计支付至85%，初步验收完成后，累计支付至机电及金属结构合同价格的97%。</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工程全部完成并经完工验收合格后支付至合同价格的97%，在承包人提交合同价格3%的质量保证金保函后，支付至合同价格的100%。</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584" w:name="_Toc33285871"/>
      <w:bookmarkStart w:id="585" w:name="_Toc10548"/>
      <w:r>
        <w:rPr>
          <w:rFonts w:hint="eastAsia" w:ascii="黑体" w:hAnsi="黑体" w:eastAsia="黑体" w:cs="黑体"/>
          <w:b w:val="0"/>
          <w:bCs/>
          <w:i w:val="0"/>
          <w:iCs w:val="0"/>
          <w:sz w:val="32"/>
          <w:szCs w:val="32"/>
          <w:highlight w:val="none"/>
        </w:rPr>
        <w:t>8质量保证金</w:t>
      </w:r>
      <w:bookmarkEnd w:id="584"/>
      <w:bookmarkEnd w:id="585"/>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工程质量保证金为合同价格的3%。质量保修期为从通过完工验收之日起12个月。工程完工验收前，在承包人已经向发包人提交履约保函的前提下，发包人不同时预留工程质量保证金。进入质量保修期前21日内，承包人向发包人提交合同价格3%的工程质量保证金保函。</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586" w:name="_Toc33285872"/>
      <w:bookmarkStart w:id="587" w:name="_Toc497897325"/>
      <w:bookmarkStart w:id="588" w:name="_Toc8068"/>
      <w:bookmarkStart w:id="589" w:name="_Toc481393180"/>
      <w:r>
        <w:rPr>
          <w:rFonts w:hint="eastAsia" w:ascii="黑体" w:hAnsi="黑体" w:eastAsia="黑体" w:cs="黑体"/>
          <w:b w:val="0"/>
          <w:bCs/>
          <w:i w:val="0"/>
          <w:iCs w:val="0"/>
          <w:sz w:val="32"/>
          <w:szCs w:val="32"/>
          <w:highlight w:val="none"/>
        </w:rPr>
        <w:t>9函件</w:t>
      </w:r>
      <w:bookmarkEnd w:id="586"/>
      <w:bookmarkEnd w:id="587"/>
      <w:bookmarkEnd w:id="588"/>
      <w:bookmarkEnd w:id="589"/>
    </w:p>
    <w:p>
      <w:pPr>
        <w:snapToGrid w:val="0"/>
        <w:spacing w:before="120" w:beforeLines="50" w:after="120" w:afterLines="50" w:line="360" w:lineRule="auto"/>
        <w:outlineLvl w:val="1"/>
        <w:rPr>
          <w:rFonts w:hint="eastAsia" w:ascii="黑体" w:hAnsi="黑体" w:eastAsia="黑体" w:cs="黑体"/>
          <w:b w:val="0"/>
          <w:bCs/>
          <w:i w:val="0"/>
          <w:iCs w:val="0"/>
          <w:sz w:val="28"/>
          <w:szCs w:val="28"/>
          <w:highlight w:val="none"/>
        </w:rPr>
      </w:pPr>
      <w:bookmarkStart w:id="590" w:name="_Toc497897326"/>
      <w:bookmarkStart w:id="591" w:name="_Toc24989"/>
      <w:r>
        <w:rPr>
          <w:rFonts w:hint="eastAsia" w:ascii="黑体" w:hAnsi="黑体" w:eastAsia="黑体" w:cs="黑体"/>
          <w:b w:val="0"/>
          <w:bCs/>
          <w:i w:val="0"/>
          <w:iCs w:val="0"/>
          <w:sz w:val="28"/>
          <w:szCs w:val="28"/>
          <w:highlight w:val="none"/>
        </w:rPr>
        <w:t>9.1联络以书面函件为准</w:t>
      </w:r>
      <w:bookmarkEnd w:id="590"/>
      <w:bookmarkEnd w:id="591"/>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合同文件中述及的由任何人提出或给出的与合同有关的通知、指示、要求、请求、同意、意见、确认、批准、证书、证明和决定等是双方联络和履行合同的凭证，均应以书面函件为准，并应送达双方约定的地点和办理签收手续。</w:t>
      </w:r>
    </w:p>
    <w:p>
      <w:pPr>
        <w:snapToGrid w:val="0"/>
        <w:spacing w:before="120" w:beforeLines="50" w:after="120" w:afterLines="50" w:line="360" w:lineRule="auto"/>
        <w:outlineLvl w:val="1"/>
        <w:rPr>
          <w:rFonts w:hint="eastAsia" w:ascii="黑体" w:hAnsi="黑体" w:eastAsia="黑体" w:cs="黑体"/>
          <w:b w:val="0"/>
          <w:bCs/>
          <w:i w:val="0"/>
          <w:iCs w:val="0"/>
          <w:sz w:val="28"/>
          <w:szCs w:val="28"/>
          <w:highlight w:val="none"/>
        </w:rPr>
      </w:pPr>
      <w:bookmarkStart w:id="592" w:name="_Toc497897327"/>
      <w:bookmarkStart w:id="593" w:name="_Toc19554"/>
      <w:r>
        <w:rPr>
          <w:rFonts w:hint="eastAsia" w:ascii="黑体" w:hAnsi="黑体" w:eastAsia="黑体" w:cs="黑体"/>
          <w:b w:val="0"/>
          <w:bCs/>
          <w:i w:val="0"/>
          <w:iCs w:val="0"/>
          <w:sz w:val="28"/>
          <w:szCs w:val="28"/>
          <w:highlight w:val="none"/>
        </w:rPr>
        <w:t>9.2来往函件的发出和答复</w:t>
      </w:r>
      <w:bookmarkEnd w:id="592"/>
      <w:bookmarkEnd w:id="593"/>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上述条款中的通知、指示、要求、请求、同意、意见、确认、批准、证书、证明和决定等来往函件均应按时限及时发出和答复，不得无故扣压和拖延，否则由责任方对由此造成的后果负责。</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594" w:name="_Toc33285873"/>
      <w:bookmarkStart w:id="595" w:name="_Toc497897328"/>
      <w:bookmarkStart w:id="596" w:name="_Toc22609"/>
      <w:bookmarkStart w:id="597" w:name="_Toc481393181"/>
      <w:r>
        <w:rPr>
          <w:rFonts w:hint="eastAsia" w:ascii="黑体" w:hAnsi="黑体" w:eastAsia="黑体" w:cs="黑体"/>
          <w:b w:val="0"/>
          <w:bCs/>
          <w:i w:val="0"/>
          <w:iCs w:val="0"/>
          <w:sz w:val="32"/>
          <w:szCs w:val="32"/>
          <w:highlight w:val="none"/>
        </w:rPr>
        <w:t>10图纸</w:t>
      </w:r>
      <w:bookmarkEnd w:id="594"/>
      <w:bookmarkEnd w:id="595"/>
      <w:bookmarkEnd w:id="596"/>
      <w:bookmarkEnd w:id="597"/>
    </w:p>
    <w:p>
      <w:pPr>
        <w:snapToGrid w:val="0"/>
        <w:spacing w:before="120" w:beforeLines="50" w:after="120" w:afterLines="50" w:line="360" w:lineRule="auto"/>
        <w:outlineLvl w:val="1"/>
        <w:rPr>
          <w:rFonts w:hint="eastAsia" w:ascii="黑体" w:hAnsi="黑体" w:eastAsia="黑体" w:cs="黑体"/>
          <w:b w:val="0"/>
          <w:bCs/>
          <w:i w:val="0"/>
          <w:iCs w:val="0"/>
          <w:sz w:val="28"/>
          <w:szCs w:val="28"/>
          <w:highlight w:val="none"/>
        </w:rPr>
      </w:pPr>
      <w:bookmarkStart w:id="598" w:name="_Toc497897329"/>
      <w:bookmarkStart w:id="599" w:name="_Toc29055"/>
      <w:r>
        <w:rPr>
          <w:rFonts w:hint="eastAsia" w:ascii="黑体" w:hAnsi="黑体" w:eastAsia="黑体" w:cs="黑体"/>
          <w:b w:val="0"/>
          <w:bCs/>
          <w:i w:val="0"/>
          <w:iCs w:val="0"/>
          <w:sz w:val="28"/>
          <w:szCs w:val="28"/>
          <w:highlight w:val="none"/>
        </w:rPr>
        <w:t>10.1施工图纸</w:t>
      </w:r>
      <w:bookmarkEnd w:id="598"/>
      <w:bookmarkEnd w:id="599"/>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承包人协助发包人负责施工图设计管理工作，协调设计单位按实际施工进度要求编制供图计划，及时向发包人提供施工图纸。发包人在收到图纸后，经监理单位、承包人审查批准后交施工单位进行施工。审查时间一般不应超过7个工作日。</w:t>
      </w:r>
    </w:p>
    <w:p>
      <w:pPr>
        <w:snapToGrid w:val="0"/>
        <w:spacing w:before="120" w:beforeLines="50" w:after="120" w:afterLines="50" w:line="360" w:lineRule="auto"/>
        <w:outlineLvl w:val="1"/>
        <w:rPr>
          <w:rFonts w:hint="eastAsia" w:ascii="黑体" w:hAnsi="黑体" w:eastAsia="黑体" w:cs="黑体"/>
          <w:b w:val="0"/>
          <w:bCs/>
          <w:i w:val="0"/>
          <w:iCs w:val="0"/>
          <w:sz w:val="28"/>
          <w:szCs w:val="28"/>
          <w:highlight w:val="none"/>
        </w:rPr>
      </w:pPr>
      <w:bookmarkStart w:id="600" w:name="_Toc18935"/>
      <w:bookmarkStart w:id="601" w:name="_Toc497897331"/>
      <w:r>
        <w:rPr>
          <w:rFonts w:hint="eastAsia" w:ascii="黑体" w:hAnsi="黑体" w:eastAsia="黑体" w:cs="黑体"/>
          <w:b w:val="0"/>
          <w:bCs/>
          <w:i w:val="0"/>
          <w:iCs w:val="0"/>
          <w:sz w:val="28"/>
          <w:szCs w:val="28"/>
          <w:highlight w:val="none"/>
        </w:rPr>
        <w:t>10.2图纸的保密</w:t>
      </w:r>
      <w:bookmarkEnd w:id="600"/>
      <w:bookmarkEnd w:id="601"/>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未经发包人许可，按合同约定由承包人和施工单位相互提供的图纸不得泄露给与本合同无关的第三方，违者应对泄密造成的后果承担责任。</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02" w:name="_Toc953"/>
      <w:bookmarkStart w:id="603" w:name="_Toc33285874"/>
      <w:bookmarkStart w:id="604" w:name="_Toc481393182"/>
      <w:bookmarkStart w:id="605" w:name="_Toc497897332"/>
      <w:r>
        <w:rPr>
          <w:rFonts w:hint="eastAsia" w:ascii="黑体" w:hAnsi="黑体" w:eastAsia="黑体" w:cs="黑体"/>
          <w:b w:val="0"/>
          <w:bCs/>
          <w:i w:val="0"/>
          <w:iCs w:val="0"/>
          <w:sz w:val="32"/>
          <w:szCs w:val="32"/>
          <w:highlight w:val="none"/>
        </w:rPr>
        <w:t>11承包人的组织机构及管理</w:t>
      </w:r>
      <w:bookmarkEnd w:id="602"/>
      <w:bookmarkEnd w:id="603"/>
      <w:bookmarkEnd w:id="604"/>
      <w:bookmarkEnd w:id="605"/>
    </w:p>
    <w:p>
      <w:pPr>
        <w:snapToGrid w:val="0"/>
        <w:spacing w:before="120" w:beforeLines="50" w:after="120" w:afterLines="50" w:line="360" w:lineRule="auto"/>
        <w:outlineLvl w:val="1"/>
        <w:rPr>
          <w:rFonts w:hint="eastAsia" w:ascii="黑体" w:hAnsi="黑体" w:eastAsia="黑体" w:cs="黑体"/>
          <w:b w:val="0"/>
          <w:bCs/>
          <w:i w:val="0"/>
          <w:iCs w:val="0"/>
          <w:sz w:val="28"/>
          <w:szCs w:val="28"/>
          <w:highlight w:val="none"/>
        </w:rPr>
      </w:pPr>
      <w:bookmarkStart w:id="606" w:name="_Toc497897333"/>
      <w:bookmarkStart w:id="607" w:name="_Toc16227"/>
      <w:r>
        <w:rPr>
          <w:rFonts w:hint="eastAsia" w:ascii="黑体" w:hAnsi="黑体" w:eastAsia="黑体" w:cs="黑体"/>
          <w:b w:val="0"/>
          <w:bCs/>
          <w:i w:val="0"/>
          <w:iCs w:val="0"/>
          <w:sz w:val="28"/>
          <w:szCs w:val="28"/>
          <w:highlight w:val="none"/>
        </w:rPr>
        <w:t>11.1承包人的机构和管理人员</w:t>
      </w:r>
      <w:bookmarkEnd w:id="606"/>
      <w:bookmarkEnd w:id="607"/>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11.1.1 承包人的管理人员</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承包人应为完成本合同约定的各项工作向工地派遣或雇用技术合格和数量足够的各类人员。并保证组织机构及主要人员在合同期内不得任意变动。若有变动须经发包人同意。</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608" w:name="_Toc314403142"/>
      <w:r>
        <w:rPr>
          <w:rFonts w:hint="eastAsia" w:ascii="仿宋_GB2312" w:hAnsi="仿宋_GB2312" w:eastAsia="仿宋_GB2312" w:cs="仿宋_GB2312"/>
          <w:i w:val="0"/>
          <w:iCs w:val="0"/>
          <w:sz w:val="21"/>
          <w:szCs w:val="21"/>
          <w:highlight w:val="none"/>
        </w:rPr>
        <w:t>11.1.2承包人项目经理</w:t>
      </w:r>
      <w:bookmarkEnd w:id="608"/>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承包人的项目经理是承包人的全权负责人，按合同约定的承包人责任和权利履行其职责。承包人项目经理应按本合同约定组织本工程的项目管理工作。如项目经理在管理过程中不能充分履行其职责时，发包人有权提出更换项目经理。</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（2）承包人为实施本合同发出的一切函件均应盖有承包人授权的现场机构公章和承包人项目经理或其授权代表签名。</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（3）项目经理、技术负责人及主要管理人员必须驻工地现场工作，驻工地每月不少于22天。特殊情况执行向发包人请假制度，违反本条款将进行处罚。</w:t>
      </w:r>
    </w:p>
    <w:p>
      <w:pPr>
        <w:snapToGrid w:val="0"/>
        <w:spacing w:before="120" w:beforeLines="50" w:after="120" w:afterLines="50" w:line="360" w:lineRule="auto"/>
        <w:outlineLvl w:val="1"/>
        <w:rPr>
          <w:rFonts w:hint="eastAsia" w:ascii="黑体" w:hAnsi="黑体" w:eastAsia="黑体" w:cs="黑体"/>
          <w:b w:val="0"/>
          <w:bCs/>
          <w:i w:val="0"/>
          <w:iCs w:val="0"/>
          <w:sz w:val="28"/>
          <w:szCs w:val="28"/>
          <w:highlight w:val="none"/>
        </w:rPr>
      </w:pPr>
      <w:bookmarkStart w:id="609" w:name="_Toc31295"/>
      <w:bookmarkStart w:id="610" w:name="_Toc497897334"/>
      <w:r>
        <w:rPr>
          <w:rFonts w:hint="eastAsia" w:ascii="黑体" w:hAnsi="黑体" w:eastAsia="黑体" w:cs="黑体"/>
          <w:b w:val="0"/>
          <w:bCs/>
          <w:i w:val="0"/>
          <w:iCs w:val="0"/>
          <w:sz w:val="28"/>
          <w:szCs w:val="28"/>
          <w:highlight w:val="none"/>
        </w:rPr>
        <w:t>11.2承包人人员的管理</w:t>
      </w:r>
      <w:bookmarkEnd w:id="609"/>
      <w:bookmarkEnd w:id="610"/>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10.2.1 承包人人员的安排</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（1）承包人应根据项目管理需要配备充足的管理人员，并为上述人员提供必要的工作和生活条件及负责支付酬金。</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（2）承包人安排在工地的主要管理人员和各专业技术骨干应相对稳定，不应频繁调动。如因故调动必须补充满足相应任职资格、资历的人员进入。</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611" w:name="_Toc314403143"/>
      <w:r>
        <w:rPr>
          <w:rFonts w:hint="eastAsia" w:ascii="仿宋_GB2312" w:hAnsi="仿宋_GB2312" w:eastAsia="仿宋_GB2312" w:cs="仿宋_GB2312"/>
          <w:i w:val="0"/>
          <w:iCs w:val="0"/>
          <w:sz w:val="21"/>
          <w:szCs w:val="21"/>
          <w:highlight w:val="none"/>
        </w:rPr>
        <w:t>10.2.2承包人人员的上岗资格</w:t>
      </w:r>
      <w:bookmarkEnd w:id="611"/>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承包人应提供承包人主要人员持有上岗资格证明的情况。相关证件交发包人、监理审查。发包人有权随时检查承包人人员的上岗资格证明。无证人员不许上岗从事相关工作。</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12" w:name="_Toc17938"/>
      <w:bookmarkStart w:id="613" w:name="_Toc497897335"/>
      <w:bookmarkStart w:id="614" w:name="_Toc481393183"/>
      <w:bookmarkStart w:id="615" w:name="_Toc33285875"/>
      <w:r>
        <w:rPr>
          <w:rFonts w:hint="eastAsia" w:ascii="黑体" w:hAnsi="黑体" w:eastAsia="黑体" w:cs="黑体"/>
          <w:b w:val="0"/>
          <w:bCs/>
          <w:i w:val="0"/>
          <w:iCs w:val="0"/>
          <w:sz w:val="32"/>
          <w:szCs w:val="32"/>
          <w:highlight w:val="none"/>
        </w:rPr>
        <w:t>12合同工期</w:t>
      </w:r>
      <w:bookmarkEnd w:id="612"/>
      <w:bookmarkEnd w:id="613"/>
      <w:bookmarkEnd w:id="614"/>
      <w:bookmarkEnd w:id="615"/>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本工程的建设管理服务期为自合同生效至工程竣工验收合格</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 xml:space="preserve">计划施工总工期为个 </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月。</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16" w:name="_Toc481393185"/>
      <w:bookmarkStart w:id="617" w:name="_Toc33285876"/>
      <w:bookmarkStart w:id="618" w:name="_Toc497897337"/>
      <w:bookmarkStart w:id="619" w:name="_Toc23446"/>
      <w:r>
        <w:rPr>
          <w:rFonts w:hint="eastAsia" w:ascii="黑体" w:hAnsi="黑体" w:eastAsia="黑体" w:cs="黑体"/>
          <w:b w:val="0"/>
          <w:bCs/>
          <w:i w:val="0"/>
          <w:iCs w:val="0"/>
          <w:sz w:val="32"/>
          <w:szCs w:val="32"/>
          <w:highlight w:val="none"/>
        </w:rPr>
        <w:t>13不可抗力</w:t>
      </w:r>
      <w:bookmarkEnd w:id="616"/>
      <w:bookmarkEnd w:id="617"/>
      <w:bookmarkEnd w:id="618"/>
      <w:bookmarkEnd w:id="619"/>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不可抗力发生后，承包人应立即通知发包人，并迅速采取措施，尽力减少损失。不可抗力事件结束后48小时内向发包人代表通报受害情况，及时会同发包人和施工等单位研究抢险、修复方案，测算损失、清理和修复的费用。灾害继续发生，承包人应每隔7天向发包人报告一次受害情况，直到灾害结束。发包人应对受害处理提供必要的条件。不可抗力造成的损失处理原则：</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（1）工程本身的损害、已运至施工场地的材料和工程设备的损害、因工程损害造成的第三者人员伤亡和财产损失由发包人承担。</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（2）各方人员伤亡由其所在单位负责，并各自承担相应费用。</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（3）造成施工单位设备、机械的损坏及停工等损失，由施工单位承担。</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（4）不能按期完工的，应合理延长工期。</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20" w:name="_Toc9599"/>
      <w:bookmarkStart w:id="621" w:name="_Toc497897340"/>
      <w:bookmarkStart w:id="622" w:name="_Toc33285877"/>
      <w:bookmarkStart w:id="623" w:name="_Toc481393188"/>
      <w:r>
        <w:rPr>
          <w:rFonts w:hint="eastAsia" w:ascii="黑体" w:hAnsi="黑体" w:eastAsia="黑体" w:cs="黑体"/>
          <w:b w:val="0"/>
          <w:bCs/>
          <w:i w:val="0"/>
          <w:iCs w:val="0"/>
          <w:sz w:val="32"/>
          <w:szCs w:val="32"/>
          <w:highlight w:val="none"/>
        </w:rPr>
        <w:t>14 检查验收</w:t>
      </w:r>
      <w:bookmarkEnd w:id="620"/>
      <w:bookmarkEnd w:id="621"/>
      <w:bookmarkEnd w:id="622"/>
      <w:bookmarkEnd w:id="623"/>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13.1工程验收均以国家颁发的现行水利工程施工及验收规范和质量标准、施工图纸、说明书、施工技术文件等为依据。</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13.2承包人负责协助编制法人验收工作计划，由发包人向法人验收监督机关备案。</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13.3承包人负责提交工程验收所需的相关文件，并协助发包人组织验收会议，完善验收资料。</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24" w:name="_Toc2072"/>
      <w:bookmarkStart w:id="625" w:name="_Toc33285878"/>
      <w:r>
        <w:rPr>
          <w:rFonts w:hint="eastAsia" w:ascii="黑体" w:hAnsi="黑体" w:eastAsia="黑体" w:cs="黑体"/>
          <w:b w:val="0"/>
          <w:bCs/>
          <w:i w:val="0"/>
          <w:iCs w:val="0"/>
          <w:sz w:val="32"/>
          <w:szCs w:val="32"/>
          <w:highlight w:val="none"/>
        </w:rPr>
        <w:t>1</w:t>
      </w:r>
      <w:bookmarkStart w:id="626" w:name="_Toc497897344"/>
      <w:r>
        <w:rPr>
          <w:rFonts w:hint="eastAsia" w:ascii="黑体" w:hAnsi="黑体" w:eastAsia="黑体" w:cs="黑体"/>
          <w:b w:val="0"/>
          <w:bCs/>
          <w:i w:val="0"/>
          <w:iCs w:val="0"/>
          <w:sz w:val="32"/>
          <w:szCs w:val="32"/>
          <w:highlight w:val="none"/>
        </w:rPr>
        <w:t>5 工程保险</w:t>
      </w:r>
      <w:bookmarkEnd w:id="624"/>
      <w:bookmarkEnd w:id="625"/>
      <w:bookmarkEnd w:id="626"/>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本工程的建筑工程一切险、安装工程一切险及第三者责任险由承包人投保，并支付保险费。承包人必须办理工程保险，因未及时办理工程保险而出现的一切后果由承包人承担。在承包人提交保险单作为保险凭证后14日内，发包人将保险费支付给承包人。</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当工程出现理赔事件时，由承包人负责办理理赔手续。</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27" w:name="_Toc33285879"/>
      <w:bookmarkStart w:id="628" w:name="_Toc16449"/>
      <w:r>
        <w:rPr>
          <w:rFonts w:hint="eastAsia" w:ascii="黑体" w:hAnsi="黑体" w:eastAsia="黑体" w:cs="黑体"/>
          <w:b w:val="0"/>
          <w:bCs/>
          <w:i w:val="0"/>
          <w:iCs w:val="0"/>
          <w:sz w:val="32"/>
          <w:szCs w:val="32"/>
          <w:highlight w:val="none"/>
        </w:rPr>
        <w:t>16保修</w:t>
      </w:r>
      <w:bookmarkEnd w:id="627"/>
      <w:bookmarkEnd w:id="628"/>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629" w:name="_Toc481393190"/>
      <w:bookmarkStart w:id="630" w:name="_Toc497897342"/>
      <w:r>
        <w:rPr>
          <w:rFonts w:hint="eastAsia" w:ascii="仿宋_GB2312" w:hAnsi="仿宋_GB2312" w:eastAsia="仿宋_GB2312" w:cs="仿宋_GB2312"/>
          <w:i w:val="0"/>
          <w:iCs w:val="0"/>
          <w:sz w:val="21"/>
          <w:szCs w:val="21"/>
          <w:highlight w:val="none"/>
        </w:rPr>
        <w:t>14.1 承包人对完工验收后交付使用的工程所存在的质量缺陷负责保修。</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14.2 保修期：从完工验收之日起计算，保修期12 个月。保修期内如果出现因承包人原因造成工程较大的质量问题引起返修或更换，则该部分保修期从处理完毕后重新计算。</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14.3 保修责任：承包人负责维修由于其自身原因形成的质量缺陷，所发生的费用由承包人承担。承包人自接到发包人的保修通知之日起，在3 日内到达现场与发包人共同辨明质量缺陷责任，商议返修内容。属承包人责任的，承包人未按期到达现场，发包人应再次通知承包人。承包人在接到再次通知书后5 日内仍未到达，发包人可在不提高工程标准的前提下自行返修，所发生的费用以质量保证金支付，保证金不足以支付返修产生的费用的，发包人有权向承包人追索，并要求承包人就未满保修期的部分重新提供质量保证金。对于由不可抗力引起的质量问题，承包人不予承担责任。</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14.4 已完工工程未交付发包人之前，承包人负责已完工程的成品保护工作，保护期间发生损坏，承包人自费予以修复。发包人提前使用，因发包人原因造成损坏的修理/修复费用，由发包人承担。</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31" w:name="_Toc21782"/>
      <w:bookmarkStart w:id="632" w:name="_Toc481393184"/>
      <w:bookmarkStart w:id="633" w:name="_Toc33285880"/>
      <w:bookmarkStart w:id="634" w:name="_Toc497897336"/>
      <w:r>
        <w:rPr>
          <w:rFonts w:hint="eastAsia" w:ascii="黑体" w:hAnsi="黑体" w:eastAsia="黑体" w:cs="黑体"/>
          <w:b w:val="0"/>
          <w:bCs/>
          <w:i w:val="0"/>
          <w:iCs w:val="0"/>
          <w:sz w:val="32"/>
          <w:szCs w:val="32"/>
          <w:highlight w:val="none"/>
        </w:rPr>
        <w:t>17</w:t>
      </w:r>
      <w:r>
        <w:rPr>
          <w:rFonts w:hint="eastAsia" w:ascii="黑体" w:hAnsi="黑体" w:eastAsia="黑体" w:cs="黑体"/>
          <w:b w:val="0"/>
          <w:bCs/>
          <w:i w:val="0"/>
          <w:iCs w:val="0"/>
          <w:sz w:val="32"/>
          <w:szCs w:val="32"/>
          <w:highlight w:val="none"/>
          <w:lang w:val="en-US" w:eastAsia="zh-CN"/>
        </w:rPr>
        <w:t xml:space="preserve"> </w:t>
      </w:r>
      <w:r>
        <w:rPr>
          <w:rFonts w:hint="eastAsia" w:ascii="黑体" w:hAnsi="黑体" w:eastAsia="黑体" w:cs="黑体"/>
          <w:b w:val="0"/>
          <w:bCs/>
          <w:i w:val="0"/>
          <w:iCs w:val="0"/>
          <w:sz w:val="32"/>
          <w:szCs w:val="32"/>
          <w:highlight w:val="none"/>
        </w:rPr>
        <w:t>违约责任</w:t>
      </w:r>
      <w:bookmarkEnd w:id="631"/>
      <w:bookmarkEnd w:id="632"/>
      <w:bookmarkEnd w:id="633"/>
      <w:bookmarkEnd w:id="634"/>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发包人不按合同履行自己的各项义务，应承担违约责任。发包人应采取补救措施，并按国家相关规定赔偿因违约行为给承包人造成的损失。发包人承担的违约责任，并不能减轻或免除合同中约定的由发包人继续履行的其他责任和义务。</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承包人不按合同履行自己的各项义务，应承担违约责任。承包人应采取补救措施，并按国家相关规定赔偿因违约行为给发包人造成的损失。承包人承担违约责任，并不能减轻或免除合同中约定的由承包人继续履行的其他责任和义务。</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（3）除非甲乙双方协议将合同终止，否则违约方承担上述违约责任后仍应继续履行合同。</w:t>
      </w:r>
    </w:p>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35" w:name="_Toc505015286"/>
      <w:bookmarkStart w:id="636" w:name="_Toc33285881"/>
      <w:bookmarkStart w:id="637" w:name="_Toc1818"/>
      <w:r>
        <w:rPr>
          <w:rFonts w:hint="eastAsia" w:ascii="黑体" w:hAnsi="黑体" w:eastAsia="黑体" w:cs="黑体"/>
          <w:b w:val="0"/>
          <w:bCs/>
          <w:i w:val="0"/>
          <w:iCs w:val="0"/>
          <w:sz w:val="32"/>
          <w:szCs w:val="32"/>
          <w:highlight w:val="none"/>
        </w:rPr>
        <w:t>18 争议</w:t>
      </w:r>
      <w:bookmarkEnd w:id="635"/>
      <w:bookmarkEnd w:id="636"/>
      <w:bookmarkEnd w:id="637"/>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18.1若在合同执行过程中，发包人和承包人发生争议，双方应及时协商，友好解決。</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18.2若发包人和承包人经协商不能达成协议，任何一方均有权将双方未能解决的争议向项目所在地人民法院起诉。</w:t>
      </w:r>
    </w:p>
    <w:bookmarkEnd w:id="629"/>
    <w:bookmarkEnd w:id="630"/>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38" w:name="_Toc26167"/>
      <w:bookmarkStart w:id="639" w:name="_Toc33285882"/>
      <w:r>
        <w:rPr>
          <w:rFonts w:hint="eastAsia" w:ascii="黑体" w:hAnsi="黑体" w:eastAsia="黑体" w:cs="黑体"/>
          <w:b w:val="0"/>
          <w:bCs/>
          <w:i w:val="0"/>
          <w:iCs w:val="0"/>
          <w:sz w:val="32"/>
          <w:szCs w:val="32"/>
          <w:highlight w:val="none"/>
        </w:rPr>
        <w:t>19 其他</w:t>
      </w:r>
      <w:bookmarkEnd w:id="638"/>
      <w:bookmarkEnd w:id="639"/>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在项目管理期间，由于国家政策致使工程建设计划重大调整，或不可抗力致使合同不能履行时合同终止，双方协商解决因合同终止所产生的遗留问题。</w:t>
      </w: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640" w:name="_Toc497897346"/>
      <w:r>
        <w:rPr>
          <w:rFonts w:hint="eastAsia" w:ascii="仿宋_GB2312" w:hAnsi="仿宋_GB2312" w:eastAsia="仿宋_GB2312" w:cs="仿宋_GB2312"/>
          <w:i w:val="0"/>
          <w:iCs w:val="0"/>
          <w:sz w:val="21"/>
          <w:szCs w:val="21"/>
          <w:highlight w:val="none"/>
        </w:rPr>
        <w:t>本合同未尽事宜，甲乙双方可另行签订补充协议，经甲乙双方签字盖章后，与本合同具有同等法律效力。</w:t>
      </w:r>
    </w:p>
    <w:bookmarkEnd w:id="640"/>
    <w:p>
      <w:pPr>
        <w:snapToGrid w:val="0"/>
        <w:spacing w:before="120" w:beforeLines="50" w:after="120" w:afterLines="50" w:line="360" w:lineRule="auto"/>
        <w:outlineLvl w:val="1"/>
        <w:rPr>
          <w:rFonts w:hint="eastAsia" w:ascii="黑体" w:hAnsi="黑体" w:eastAsia="黑体" w:cs="黑体"/>
          <w:b w:val="0"/>
          <w:bCs/>
          <w:i w:val="0"/>
          <w:iCs w:val="0"/>
          <w:sz w:val="32"/>
          <w:szCs w:val="32"/>
          <w:highlight w:val="none"/>
        </w:rPr>
      </w:pPr>
      <w:bookmarkStart w:id="641" w:name="_Toc33285883"/>
      <w:bookmarkStart w:id="642" w:name="_Toc21842"/>
      <w:r>
        <w:rPr>
          <w:rFonts w:hint="eastAsia" w:ascii="黑体" w:hAnsi="黑体" w:eastAsia="黑体" w:cs="黑体"/>
          <w:b w:val="0"/>
          <w:bCs/>
          <w:i w:val="0"/>
          <w:iCs w:val="0"/>
          <w:sz w:val="32"/>
          <w:szCs w:val="32"/>
          <w:highlight w:val="none"/>
        </w:rPr>
        <w:t>20合同附件：</w:t>
      </w:r>
      <w:bookmarkEnd w:id="641"/>
      <w:bookmarkEnd w:id="642"/>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附件1：廉政协议书；</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附件2：安全生产协议书；</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附件3：已标价的工程量清单；</w:t>
      </w:r>
    </w:p>
    <w:p>
      <w:pPr>
        <w:spacing w:line="360" w:lineRule="auto"/>
        <w:ind w:firstLine="520" w:firstLineChars="200"/>
        <w:contextualSpacing/>
        <w:rPr>
          <w:rFonts w:hAnsi="宋体"/>
          <w:i w:val="0"/>
          <w:iCs w:val="0"/>
          <w:spacing w:val="10"/>
          <w:sz w:val="24"/>
          <w:highlight w:val="none"/>
        </w:rPr>
      </w:pPr>
    </w:p>
    <w:p>
      <w:pPr>
        <w:spacing w:line="360" w:lineRule="auto"/>
        <w:ind w:firstLine="520" w:firstLineChars="200"/>
        <w:contextualSpacing/>
        <w:rPr>
          <w:rFonts w:hAnsi="宋体"/>
          <w:i w:val="0"/>
          <w:iCs w:val="0"/>
          <w:spacing w:val="10"/>
          <w:sz w:val="24"/>
          <w:highlight w:val="none"/>
        </w:rPr>
      </w:pPr>
    </w:p>
    <w:p>
      <w:pPr>
        <w:spacing w:line="360" w:lineRule="auto"/>
        <w:ind w:firstLine="520" w:firstLineChars="200"/>
        <w:contextualSpacing/>
        <w:rPr>
          <w:rFonts w:hAnsi="宋体"/>
          <w:i w:val="0"/>
          <w:iCs w:val="0"/>
          <w:spacing w:val="10"/>
          <w:sz w:val="24"/>
          <w:highlight w:val="none"/>
        </w:rPr>
      </w:pPr>
    </w:p>
    <w:p>
      <w:pPr>
        <w:spacing w:line="360" w:lineRule="auto"/>
        <w:ind w:firstLine="520" w:firstLineChars="200"/>
        <w:contextualSpacing/>
        <w:rPr>
          <w:rFonts w:hAnsi="宋体"/>
          <w:i w:val="0"/>
          <w:iCs w:val="0"/>
          <w:spacing w:val="10"/>
          <w:sz w:val="24"/>
          <w:highlight w:val="none"/>
        </w:rPr>
      </w:pPr>
    </w:p>
    <w:p>
      <w:pPr>
        <w:spacing w:line="360" w:lineRule="auto"/>
        <w:ind w:firstLine="520" w:firstLineChars="200"/>
        <w:contextualSpacing/>
        <w:rPr>
          <w:rFonts w:hAnsi="宋体"/>
          <w:i w:val="0"/>
          <w:iCs w:val="0"/>
          <w:spacing w:val="10"/>
          <w:sz w:val="24"/>
          <w:highlight w:val="none"/>
        </w:rPr>
      </w:pPr>
    </w:p>
    <w:p>
      <w:pPr>
        <w:spacing w:line="360" w:lineRule="auto"/>
        <w:ind w:firstLine="520" w:firstLineChars="200"/>
        <w:contextualSpacing/>
        <w:rPr>
          <w:rFonts w:hAnsi="宋体"/>
          <w:i w:val="0"/>
          <w:iCs w:val="0"/>
          <w:spacing w:val="10"/>
          <w:sz w:val="24"/>
          <w:highlight w:val="none"/>
        </w:rPr>
      </w:pPr>
    </w:p>
    <w:p>
      <w:pPr>
        <w:spacing w:line="360" w:lineRule="auto"/>
        <w:ind w:firstLine="520" w:firstLineChars="200"/>
        <w:contextualSpacing/>
        <w:rPr>
          <w:rFonts w:hAnsi="宋体"/>
          <w:i w:val="0"/>
          <w:iCs w:val="0"/>
          <w:spacing w:val="10"/>
          <w:sz w:val="24"/>
          <w:highlight w:val="none"/>
        </w:rPr>
      </w:pPr>
    </w:p>
    <w:p>
      <w:pPr>
        <w:spacing w:line="360" w:lineRule="auto"/>
        <w:ind w:firstLine="520" w:firstLineChars="200"/>
        <w:contextualSpacing/>
        <w:rPr>
          <w:rFonts w:hAnsi="宋体"/>
          <w:i w:val="0"/>
          <w:iCs w:val="0"/>
          <w:spacing w:val="10"/>
          <w:sz w:val="24"/>
          <w:highlight w:val="none"/>
        </w:rPr>
      </w:pPr>
    </w:p>
    <w:p>
      <w:pPr>
        <w:spacing w:line="360" w:lineRule="auto"/>
        <w:ind w:firstLine="520" w:firstLineChars="200"/>
        <w:contextualSpacing/>
        <w:rPr>
          <w:rFonts w:hAnsi="宋体"/>
          <w:i w:val="0"/>
          <w:iCs w:val="0"/>
          <w:spacing w:val="10"/>
          <w:sz w:val="24"/>
          <w:highlight w:val="none"/>
        </w:rPr>
      </w:pPr>
    </w:p>
    <w:p>
      <w:pPr>
        <w:widowControl/>
        <w:rPr>
          <w:rFonts w:hint="eastAsia" w:ascii="仿宋_GB2312" w:hAnsi="仿宋_GB2312" w:eastAsia="仿宋_GB2312" w:cs="仿宋_GB2312"/>
          <w:b/>
          <w:bCs/>
          <w:i w:val="0"/>
          <w:iCs w:val="0"/>
          <w:spacing w:val="10"/>
          <w:sz w:val="28"/>
          <w:szCs w:val="28"/>
          <w:highlight w:val="none"/>
        </w:rPr>
      </w:pPr>
      <w:r>
        <w:rPr>
          <w:rFonts w:hAnsi="宋体"/>
          <w:i w:val="0"/>
          <w:iCs w:val="0"/>
          <w:spacing w:val="10"/>
          <w:sz w:val="24"/>
          <w:highlight w:val="none"/>
        </w:rPr>
        <w:br w:type="page"/>
      </w:r>
    </w:p>
    <w:p>
      <w:pPr>
        <w:snapToGrid w:val="0"/>
        <w:spacing w:line="360" w:lineRule="auto"/>
        <w:outlineLvl w:val="2"/>
        <w:rPr>
          <w:rFonts w:hint="eastAsia" w:ascii="仿宋_GB2312" w:hAnsi="仿宋_GB2312" w:eastAsia="仿宋_GB2312" w:cs="仿宋_GB2312"/>
          <w:b/>
          <w:bCs/>
          <w:i w:val="0"/>
          <w:iCs w:val="0"/>
          <w:sz w:val="28"/>
          <w:szCs w:val="28"/>
          <w:highlight w:val="none"/>
        </w:rPr>
      </w:pPr>
      <w:bookmarkStart w:id="643" w:name="_Toc509835107"/>
      <w:bookmarkStart w:id="644" w:name="_Toc503942868"/>
      <w:r>
        <w:rPr>
          <w:rFonts w:hint="eastAsia" w:ascii="仿宋_GB2312" w:hAnsi="仿宋_GB2312" w:eastAsia="仿宋_GB2312" w:cs="仿宋_GB2312"/>
          <w:b/>
          <w:bCs/>
          <w:i w:val="0"/>
          <w:iCs w:val="0"/>
          <w:sz w:val="28"/>
          <w:szCs w:val="28"/>
          <w:highlight w:val="none"/>
        </w:rPr>
        <w:t>附件1：廉政协议书</w:t>
      </w:r>
      <w:bookmarkEnd w:id="643"/>
      <w:bookmarkEnd w:id="644"/>
    </w:p>
    <w:p>
      <w:pPr>
        <w:spacing w:line="312" w:lineRule="auto"/>
        <w:jc w:val="center"/>
        <w:rPr>
          <w:rFonts w:hint="eastAsia" w:ascii="黑体" w:hAnsi="黑体" w:eastAsia="黑体" w:cs="黑体"/>
          <w:b w:val="0"/>
          <w:bCs w:val="0"/>
          <w:i w:val="0"/>
          <w:iCs w:val="0"/>
          <w:color w:val="000000"/>
          <w:sz w:val="32"/>
          <w:szCs w:val="32"/>
          <w:highlight w:val="none"/>
        </w:rPr>
      </w:pPr>
      <w:r>
        <w:rPr>
          <w:rFonts w:hint="eastAsia" w:ascii="黑体" w:hAnsi="黑体" w:eastAsia="黑体" w:cs="黑体"/>
          <w:b w:val="0"/>
          <w:bCs w:val="0"/>
          <w:i w:val="0"/>
          <w:iCs w:val="0"/>
          <w:color w:val="000000"/>
          <w:sz w:val="32"/>
          <w:szCs w:val="32"/>
          <w:highlight w:val="none"/>
        </w:rPr>
        <w:t>廉政协议书</w:t>
      </w:r>
    </w:p>
    <w:p>
      <w:pPr>
        <w:spacing w:line="360" w:lineRule="auto"/>
        <w:ind w:firstLine="520" w:firstLineChars="200"/>
        <w:contextualSpacing/>
        <w:rPr>
          <w:rFonts w:hint="eastAsia" w:hAnsi="宋体"/>
          <w:i w:val="0"/>
          <w:iCs w:val="0"/>
          <w:spacing w:val="10"/>
          <w:sz w:val="24"/>
          <w:highlight w:val="none"/>
        </w:rPr>
      </w:pP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根据有关工程建设、廉政建设的规定，为做好工程建设中的党风廉政建设，保证工程建设高效优质，保证建设资金的安全和有效使用以及投资效益，本项目发包人（以下称甲方）与承包人（以下称乙方），特签订此协议。</w:t>
      </w:r>
    </w:p>
    <w:p>
      <w:pPr>
        <w:spacing w:line="360" w:lineRule="auto"/>
        <w:ind w:firstLine="461" w:firstLineChars="200"/>
        <w:contextualSpacing/>
        <w:rPr>
          <w:rFonts w:hint="eastAsia" w:ascii="仿宋_GB2312" w:hAnsi="仿宋_GB2312" w:eastAsia="仿宋_GB2312" w:cs="仿宋_GB2312"/>
          <w:b/>
          <w:i w:val="0"/>
          <w:iCs w:val="0"/>
          <w:spacing w:val="10"/>
          <w:sz w:val="21"/>
          <w:szCs w:val="21"/>
          <w:highlight w:val="none"/>
        </w:rPr>
      </w:pPr>
      <w:r>
        <w:rPr>
          <w:rFonts w:hint="eastAsia" w:ascii="仿宋_GB2312" w:hAnsi="仿宋_GB2312" w:eastAsia="仿宋_GB2312" w:cs="仿宋_GB2312"/>
          <w:b/>
          <w:i w:val="0"/>
          <w:iCs w:val="0"/>
          <w:spacing w:val="10"/>
          <w:sz w:val="21"/>
          <w:szCs w:val="21"/>
          <w:highlight w:val="none"/>
        </w:rPr>
        <w:t>第一条甲乙双方的权利和义务</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1、严格遵守党和国家有关法律法规的有关规定。</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2、严格执行工程施工合同文件，自觉按合同办事。</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3、双方的业务和活动坚持公开、公正、诚信、透明的原则（法律认定的商业秘密和合同文件另有约定的除外），不得损害国家和集体利益，不得违反工程建设管理规章制度。</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4、建立健全廉政制度，开展廉政教育，公布廉政告示举报电话，监督并认真查处违法违纪行为。</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5、发现对方在业务活动中有违反廉政规定的行为，有及时提醒对方纠正的权利和义务。</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6、发现对方严重违反本合同义务条款的行为，有向其上级有关部门举报、建议给予处理并要求告知处理结果的权利。</w:t>
      </w:r>
    </w:p>
    <w:p>
      <w:pPr>
        <w:spacing w:line="360" w:lineRule="auto"/>
        <w:ind w:firstLine="461" w:firstLineChars="200"/>
        <w:contextualSpacing/>
        <w:rPr>
          <w:rFonts w:hint="eastAsia" w:ascii="仿宋_GB2312" w:hAnsi="仿宋_GB2312" w:eastAsia="仿宋_GB2312" w:cs="仿宋_GB2312"/>
          <w:b/>
          <w:i w:val="0"/>
          <w:iCs w:val="0"/>
          <w:spacing w:val="10"/>
          <w:sz w:val="21"/>
          <w:szCs w:val="21"/>
          <w:highlight w:val="none"/>
        </w:rPr>
      </w:pPr>
      <w:r>
        <w:rPr>
          <w:rFonts w:hint="eastAsia" w:ascii="仿宋_GB2312" w:hAnsi="仿宋_GB2312" w:eastAsia="仿宋_GB2312" w:cs="仿宋_GB2312"/>
          <w:b/>
          <w:i w:val="0"/>
          <w:iCs w:val="0"/>
          <w:spacing w:val="10"/>
          <w:sz w:val="21"/>
          <w:szCs w:val="21"/>
          <w:highlight w:val="none"/>
        </w:rPr>
        <w:t>第二条甲方的义务</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1、甲方工作人员及其家属不得索要或接受乙方的礼金、有价证券和贵重物品，不得在乙方报销任何应由甲方或个人支付的费用等。</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2、甲方工作人员及其家属不得参加乙方安排的超标准宴请和娱乐活动；不得接受乙方提供的通讯工具、交通工具和高档办公用品等。</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3、甲方工作人员及其家属不得要求或者接受乙方为其住房装修、婚丧嫁娶活动、配偶子女的工作安排以及出国出境、旅游等提供方便等。</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4、甲方工作人员及其配偶、子女不得从事与乙方工作有关的经济活动。</w:t>
      </w:r>
    </w:p>
    <w:p>
      <w:pPr>
        <w:spacing w:line="360" w:lineRule="auto"/>
        <w:ind w:firstLine="461" w:firstLineChars="200"/>
        <w:contextualSpacing/>
        <w:rPr>
          <w:rFonts w:hint="eastAsia" w:ascii="仿宋_GB2312" w:hAnsi="仿宋_GB2312" w:eastAsia="仿宋_GB2312" w:cs="仿宋_GB2312"/>
          <w:b/>
          <w:i w:val="0"/>
          <w:iCs w:val="0"/>
          <w:spacing w:val="10"/>
          <w:sz w:val="21"/>
          <w:szCs w:val="21"/>
          <w:highlight w:val="none"/>
        </w:rPr>
      </w:pPr>
      <w:r>
        <w:rPr>
          <w:rFonts w:hint="eastAsia" w:ascii="仿宋_GB2312" w:hAnsi="仿宋_GB2312" w:eastAsia="仿宋_GB2312" w:cs="仿宋_GB2312"/>
          <w:b/>
          <w:i w:val="0"/>
          <w:iCs w:val="0"/>
          <w:spacing w:val="10"/>
          <w:sz w:val="21"/>
          <w:szCs w:val="21"/>
          <w:highlight w:val="none"/>
        </w:rPr>
        <w:t>第三条乙方义务</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1、乙方不得以任何理由向甲方工作人员及其家属行贿或馈赠礼金、有价证券、贵重礼品。</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2、乙方不得以任何名义为甲方工作人员及其家属报销应由甲方单位或个人支付的任何费用。</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3、乙方不得以任何理由安排甲方工作人员及其家属参加超标准宴请和娱乐活动。</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4、乙方不得为甲方单位和个人及其家属购置或提供通讯工具、交通工具和高档办公用品等。</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5、乙方不得以任何理由向被承包的任何单位接受贿或收受馈赠礼金、有价证券、贵重礼品。</w:t>
      </w:r>
    </w:p>
    <w:p>
      <w:pPr>
        <w:spacing w:line="360" w:lineRule="auto"/>
        <w:ind w:firstLine="461" w:firstLineChars="200"/>
        <w:contextualSpacing/>
        <w:rPr>
          <w:rFonts w:hint="eastAsia" w:ascii="仿宋_GB2312" w:hAnsi="仿宋_GB2312" w:eastAsia="仿宋_GB2312" w:cs="仿宋_GB2312"/>
          <w:b/>
          <w:i w:val="0"/>
          <w:iCs w:val="0"/>
          <w:spacing w:val="10"/>
          <w:sz w:val="21"/>
          <w:szCs w:val="21"/>
          <w:highlight w:val="none"/>
        </w:rPr>
      </w:pPr>
      <w:r>
        <w:rPr>
          <w:rFonts w:hint="eastAsia" w:ascii="仿宋_GB2312" w:hAnsi="仿宋_GB2312" w:eastAsia="仿宋_GB2312" w:cs="仿宋_GB2312"/>
          <w:b/>
          <w:i w:val="0"/>
          <w:iCs w:val="0"/>
          <w:spacing w:val="10"/>
          <w:sz w:val="21"/>
          <w:szCs w:val="21"/>
          <w:highlight w:val="none"/>
        </w:rPr>
        <w:t>第四条违约责任</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1、甲方及其工作人员违反本合同第一、二条，按管理权限，依据有关规定给予党纪、政纪或组织处理；涉嫌犯罪的，移交司法机关追究刑事责任；给乙方单位造成经济损失的，应予以赔偿。</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2、乙方及其工作人员违反本合同第一、三条，按管理权限，依据有关规定给予党纪、政纪或组织处理；给甲方单位造成经济损失的，应予以赔偿；情节严重的，甲方建议工程建设主管部门给予乙方一至三年内不得进入其主管的工程建设市场的处罚。</w:t>
      </w:r>
    </w:p>
    <w:p>
      <w:pPr>
        <w:spacing w:line="360" w:lineRule="auto"/>
        <w:ind w:firstLine="461" w:firstLineChars="200"/>
        <w:contextualSpacing/>
        <w:rPr>
          <w:rFonts w:hint="eastAsia" w:ascii="仿宋_GB2312" w:hAnsi="仿宋_GB2312" w:eastAsia="仿宋_GB2312" w:cs="仿宋_GB2312"/>
          <w:b/>
          <w:i w:val="0"/>
          <w:iCs w:val="0"/>
          <w:spacing w:val="10"/>
          <w:sz w:val="21"/>
          <w:szCs w:val="21"/>
          <w:highlight w:val="none"/>
        </w:rPr>
      </w:pPr>
      <w:r>
        <w:rPr>
          <w:rFonts w:hint="eastAsia" w:ascii="仿宋_GB2312" w:hAnsi="仿宋_GB2312" w:eastAsia="仿宋_GB2312" w:cs="仿宋_GB2312"/>
          <w:b/>
          <w:i w:val="0"/>
          <w:iCs w:val="0"/>
          <w:spacing w:val="10"/>
          <w:sz w:val="21"/>
          <w:szCs w:val="21"/>
          <w:highlight w:val="none"/>
        </w:rPr>
        <w:t>第五条双方约定</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本协议由双方或双方上级单位的纪检监察机关负责监督。由甲方或甲方上级单位的纪检监察机关邀请乙方或乙方上级单位纪检监察机关对本合同履行情况进行检查，提出在本合同约定范围内的裁定意见。</w:t>
      </w:r>
    </w:p>
    <w:p>
      <w:pPr>
        <w:spacing w:line="360" w:lineRule="auto"/>
        <w:ind w:firstLine="461"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b/>
          <w:i w:val="0"/>
          <w:iCs w:val="0"/>
          <w:spacing w:val="10"/>
          <w:sz w:val="21"/>
          <w:szCs w:val="21"/>
          <w:highlight w:val="none"/>
        </w:rPr>
        <w:t>第六条</w:t>
      </w:r>
      <w:r>
        <w:rPr>
          <w:rFonts w:hint="eastAsia" w:ascii="仿宋_GB2312" w:hAnsi="仿宋_GB2312" w:eastAsia="仿宋_GB2312" w:cs="仿宋_GB2312"/>
          <w:i w:val="0"/>
          <w:iCs w:val="0"/>
          <w:spacing w:val="10"/>
          <w:sz w:val="21"/>
          <w:szCs w:val="21"/>
          <w:highlight w:val="none"/>
        </w:rPr>
        <w:t>本协议有效期为甲乙双方签署之日起至该工程项目的竣工验收后止。</w:t>
      </w:r>
    </w:p>
    <w:p>
      <w:pPr>
        <w:spacing w:line="360" w:lineRule="auto"/>
        <w:ind w:firstLine="461"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b/>
          <w:i w:val="0"/>
          <w:iCs w:val="0"/>
          <w:spacing w:val="10"/>
          <w:sz w:val="21"/>
          <w:szCs w:val="21"/>
          <w:highlight w:val="none"/>
        </w:rPr>
        <w:t>第七条</w:t>
      </w:r>
      <w:r>
        <w:rPr>
          <w:rFonts w:hint="eastAsia" w:ascii="仿宋_GB2312" w:hAnsi="仿宋_GB2312" w:eastAsia="仿宋_GB2312" w:cs="仿宋_GB2312"/>
          <w:i w:val="0"/>
          <w:iCs w:val="0"/>
          <w:spacing w:val="10"/>
          <w:sz w:val="21"/>
          <w:szCs w:val="21"/>
          <w:highlight w:val="none"/>
        </w:rPr>
        <w:t>本协议作为工程项目建设合同的附件，与建设合同具有同等的法律效力，经合同双方签署立即生效。</w:t>
      </w:r>
    </w:p>
    <w:p>
      <w:pPr>
        <w:spacing w:line="360" w:lineRule="auto"/>
        <w:ind w:firstLine="520" w:firstLineChars="200"/>
        <w:contextualSpacing/>
        <w:rPr>
          <w:rFonts w:hAnsi="宋体"/>
          <w:i w:val="0"/>
          <w:iCs w:val="0"/>
          <w:spacing w:val="10"/>
          <w:sz w:val="24"/>
          <w:highlight w:val="none"/>
        </w:rPr>
      </w:pPr>
    </w:p>
    <w:p>
      <w:pPr>
        <w:snapToGrid w:val="0"/>
        <w:spacing w:line="360" w:lineRule="auto"/>
        <w:outlineLvl w:val="2"/>
        <w:rPr>
          <w:rFonts w:ascii="宋体" w:hAnsi="宋体"/>
          <w:b/>
          <w:i w:val="0"/>
          <w:iCs w:val="0"/>
          <w:sz w:val="24"/>
          <w:highlight w:val="none"/>
        </w:rPr>
      </w:pPr>
      <w:r>
        <w:rPr>
          <w:rFonts w:hAnsi="宋体"/>
          <w:i w:val="0"/>
          <w:iCs w:val="0"/>
          <w:spacing w:val="10"/>
          <w:sz w:val="24"/>
          <w:highlight w:val="none"/>
        </w:rPr>
        <w:br w:type="page"/>
      </w:r>
      <w:r>
        <w:rPr>
          <w:rFonts w:hint="eastAsia" w:ascii="仿宋_GB2312" w:hAnsi="仿宋_GB2312" w:eastAsia="仿宋_GB2312" w:cs="仿宋_GB2312"/>
          <w:b w:val="0"/>
          <w:bCs/>
          <w:i w:val="0"/>
          <w:iCs w:val="0"/>
          <w:sz w:val="28"/>
          <w:szCs w:val="28"/>
          <w:highlight w:val="none"/>
        </w:rPr>
        <w:t>附件2：安全生产协议书</w:t>
      </w:r>
    </w:p>
    <w:p>
      <w:pPr>
        <w:spacing w:line="360" w:lineRule="auto"/>
        <w:ind w:firstLine="520" w:firstLineChars="200"/>
        <w:contextualSpacing/>
        <w:rPr>
          <w:rFonts w:hAnsi="宋体"/>
          <w:i w:val="0"/>
          <w:iCs w:val="0"/>
          <w:spacing w:val="10"/>
          <w:sz w:val="24"/>
          <w:highlight w:val="none"/>
        </w:rPr>
      </w:pPr>
    </w:p>
    <w:p>
      <w:pPr>
        <w:spacing w:line="360" w:lineRule="auto"/>
        <w:jc w:val="center"/>
        <w:rPr>
          <w:rFonts w:hint="eastAsia" w:ascii="黑体" w:hAnsi="黑体" w:eastAsia="黑体" w:cs="黑体"/>
          <w:b w:val="0"/>
          <w:bCs/>
          <w:i w:val="0"/>
          <w:iCs w:val="0"/>
          <w:sz w:val="32"/>
          <w:szCs w:val="32"/>
          <w:highlight w:val="none"/>
        </w:rPr>
      </w:pPr>
      <w:r>
        <w:rPr>
          <w:rFonts w:hint="eastAsia" w:ascii="黑体" w:hAnsi="黑体" w:eastAsia="黑体" w:cs="黑体"/>
          <w:b w:val="0"/>
          <w:bCs/>
          <w:i w:val="0"/>
          <w:iCs w:val="0"/>
          <w:sz w:val="32"/>
          <w:szCs w:val="32"/>
          <w:highlight w:val="none"/>
        </w:rPr>
        <w:t>安全生产责任书</w:t>
      </w:r>
    </w:p>
    <w:p>
      <w:pPr>
        <w:spacing w:line="324" w:lineRule="auto"/>
        <w:ind w:firstLine="520" w:firstLineChars="200"/>
        <w:contextualSpacing/>
        <w:rPr>
          <w:rFonts w:hAnsi="宋体"/>
          <w:i w:val="0"/>
          <w:iCs w:val="0"/>
          <w:spacing w:val="10"/>
          <w:sz w:val="24"/>
          <w:highlight w:val="none"/>
        </w:rPr>
      </w:pP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为在本项目实施过程中创造安全、高效的施工环境，切实做好本项目的安全管理工作，本项目发包人（以下简称“甲方”）与承包人（以下简称“乙方”）为此签订安全生产协议书：</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协议期限：本协议书自甲乙双方法定代表人或其授权代理人签署并加盖单位章后生效，全部工程竣工验收或分包合同解除后终止。</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一、甲方职责</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 严格遵守国家有关安全生产的法律法规，认真执行承包合同中的有关安全要求。</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2. 按照“安全第一、预防为主、综合治理”和坚持“管生产必须管安全”的原则进行安全生产管理，做好安全工作计划、布置、检查、总结和评比。</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3. 重要的安全设施必须坚持与主体工程“三同时”原则，即：同时设计、审批，同时施工，同时验收，投入使用。</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4. 组织对乙方施工现场进行安全生产检查，应针对施工作业中常见的高处坠落、物体打击、触电、机械伤害等事故进行经常性检查，抓住施工难度大、危险性大的部位进行重点检查。对检查重发现的事故隐患甲方有权要求乙方限期整改并组织验收。</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5.应对乙方安全生产开展情况进行监督检查，当乙方出现安全、文明施工严重失控情况时，甲方有权做出停工整顿、限期整改、请退出场的决定。</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6.当施工中发生危及人身安全或临界重大危险源失控等紧急情况时，甲方有权立即要求中止施工作业或要求乙方撤离危险区域。</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7.当发生人身伤亡事故、机械设备设施严重损坏事故、场区建筑火灾事故、重复发生相同性质的恶劣事故、施工现场脏乱差，不满足安全文明施工要求且多次不听劝告等情况时，甲方有权要求乙方停工整顿。</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二、乙方职责</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 严格遵守国家有关安全生产的法律法规和《水利水电工程施工通用安全技术规程》（SL 398-2007）《水利水电工程土建施工安全技术规程》（SL 399-2007）《水利水电工程金属结构与机电设备安装安全技术规程》（SL 400-2007）《水利水电工程施工作业人员安全操作规程》（SL 401-2007）、《水利水电工程施工安全管理导则》（SL 721-2015）等有关安全生产的规定，认真执行承包合同中的有关安全要求。</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2. 坚持“安全第一、预防为主、综合治理”和坚持“管生产必须管安全”的原则，加强安全生产宣传教育，增强全员安全生产意识，建立安全生产的管理机构和安全生产管理制度，配备专职及兼职安全检查人员，有组织、有领导地开展安全生产活动。各级领导、工程技术人员、生产管理人员和具体操作人员，必须熟悉和遵守安全管理的各项规定，做到生产与安全工作计划、布置、检查、总结和评比。</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3. 建立健全安全生产责任制。从项目经理到生产工人（包括临时雇佣的民工）的安全管理系统必须做到纵向到底，一环不漏；各职能部门和人员的安全生产责任制横向到边，人人有责。项目经理是安全生产的第一责任人。在施工现场配备与其生产规模相适应、具有工程系列技术职称的专职安全生产管理人员，负责对安全生产进行现场监督检查，督促作业人员遵守安全操作规程和技术标准，及时制止并纠正违反施工安全技术规范、规程的行为，发现安全事故隐患，应及时向项目经理和安全生产管理机构报告。</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4. 在任何时候都应采取各种合理的预防措施，防止员工发生任何违法、违禁、暴力或妨碍治安的行为。</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5. 必须具有劳动安全管理部门颁发的安全生产许可证，参加施工的人员，必须接受安全技术教育，熟知和遵守本工种的各项安全技术操作规程，定期进行安全技术考核，合格者方能上岗操作。对于垂直运输机械作业人员、安装拆卸工、电气焊（割）作业人员、爆破作业人员、起重信号工、登高架设及水上（下）作业等特种作业人员，必须经过专门的安全作业培训，在取得特种作业操作资格证书后，方可上岗作业。施工现场如果出现特种作业无证操作现象，项目经理应承担管理责任。</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6. 所有施工机具设备和高空作业设备均应建立相应的资料档案，定期检查、维修和保养，并有安全员的签字记录，保证其经常处于完好状态；不合格的机具、设备和劳动保护用品严禁使用。</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7. 对于易燃易爆的材料除应专门妥善保管外，还应配备足够的消防设施，所有施工人员都应熟悉消防设备的性能和使用方法；不得将任何种类的爆炸物给予、易货或以其他方式转让给任何其他人，或允许、容忍上述行为。</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8．工程施工前，负责本项目的技术人员应就有关安全施工的技术要求向施工作业班组、作业人员作详细说明。乙方必须依照《生产经营单位安全培训规定》的要求对本单位人员进行安全教育培训工作，受教育人员的名单等记录应建档保存，凡增补或调换人员，更换工种，必须及时进行安全教育培训，并告知甲方。未接受安全教育者不得进入现场施工。</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9.作业人员必须遵守安全施工的强制性标准、规章制度和操作规程，正确穿戴和使用安全防护用具、机械设备等，做好自身防护工作。</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10．提供为确保安全生产施作必要的安全设施。在施工现场入口处和施工起重机械、临时用电设施、脚手架、桥梁口、隧道口、基坑边沿等危险部位，应设置明显的安全警示标志。安全警示标志必须符合国家标准。在施工现场搭建临时建筑物的选址和结构等应符合安全使用要求，施工现场使用的装配式活动房屋应具有产品合格证。</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11.各类安全防护设施、护栏、安全标志牌、警告牌和接地线等不得擅自拆除、更动，如确实需要拆除、更动的，必须经施工负责人和甲乙方指派的安全管理人员同意，办理手续，并采取必要、可靠的安全措施后方能拆除、更动现场安全防护设施。任何一方人员，擅自拆除、更动造成不良后果，均由该方负责。</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12.乙方在施工期间必须严格遵守和执行甲方在安全生产、治安保卫方面的有关规定，接受甲方的监督、检查和指导。对于甲方查处的隐患，乙方必须限期整改。</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13. 必须按照本项目工程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14．安全生产费按照国家、行业有关规定及合同约定计取、使用和管理。</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15．安全生产奖惩按相关办法执行。</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16.遵守《水利建设工程文明工地创建管理暂行办法》的标准坚持安全文明施工，对所承担工程区域的文明施工负责，做到完工料尽场地清。现场工业垃圾按甲方指定场地堆放并及时清理。乙方未按规定及时清理，甲方有权组织清理且费用从乙方工程款中扣除。</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三、违约责任</w:t>
      </w:r>
    </w:p>
    <w:p>
      <w:pPr>
        <w:spacing w:line="324"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如因甲方或乙方违约造成安全事故，将依法追究责任。</w:t>
      </w:r>
    </w:p>
    <w:p>
      <w:pPr>
        <w:spacing w:line="324" w:lineRule="auto"/>
        <w:ind w:firstLine="520" w:firstLineChars="200"/>
        <w:contextualSpacing/>
        <w:rPr>
          <w:rFonts w:hAnsi="宋体"/>
          <w:i w:val="0"/>
          <w:iCs w:val="0"/>
          <w:spacing w:val="10"/>
          <w:sz w:val="24"/>
          <w:highlight w:val="none"/>
        </w:rPr>
      </w:pPr>
    </w:p>
    <w:p>
      <w:pPr>
        <w:widowControl/>
        <w:rPr>
          <w:rFonts w:ascii="宋体" w:hAnsi="宋体"/>
          <w:b/>
          <w:i w:val="0"/>
          <w:iCs w:val="0"/>
          <w:sz w:val="24"/>
          <w:highlight w:val="none"/>
        </w:rPr>
      </w:pPr>
      <w:r>
        <w:rPr>
          <w:rFonts w:hAnsi="宋体"/>
          <w:i w:val="0"/>
          <w:iCs w:val="0"/>
          <w:spacing w:val="10"/>
          <w:sz w:val="24"/>
          <w:highlight w:val="none"/>
        </w:rPr>
        <w:br w:type="page"/>
      </w:r>
      <w:r>
        <w:rPr>
          <w:rFonts w:hint="eastAsia" w:ascii="仿宋_GB2312" w:hAnsi="仿宋_GB2312" w:eastAsia="仿宋_GB2312" w:cs="仿宋_GB2312"/>
          <w:b w:val="0"/>
          <w:bCs/>
          <w:i w:val="0"/>
          <w:iCs w:val="0"/>
          <w:sz w:val="28"/>
          <w:szCs w:val="28"/>
          <w:highlight w:val="none"/>
        </w:rPr>
        <w:t>附件3：已标价的工程量清单</w:t>
      </w:r>
    </w:p>
    <w:p>
      <w:pPr>
        <w:spacing w:line="360" w:lineRule="auto"/>
        <w:ind w:firstLine="520" w:firstLineChars="200"/>
        <w:contextualSpacing/>
        <w:rPr>
          <w:rFonts w:hAnsi="宋体"/>
          <w:i w:val="0"/>
          <w:iCs w:val="0"/>
          <w:spacing w:val="10"/>
          <w:sz w:val="24"/>
          <w:highlight w:val="none"/>
        </w:rPr>
      </w:pPr>
    </w:p>
    <w:p>
      <w:pPr>
        <w:spacing w:line="360" w:lineRule="auto"/>
        <w:jc w:val="center"/>
        <w:rPr>
          <w:rFonts w:hint="eastAsia" w:ascii="黑体" w:hAnsi="黑体" w:eastAsia="黑体" w:cs="黑体"/>
          <w:b w:val="0"/>
          <w:bCs/>
          <w:i w:val="0"/>
          <w:iCs w:val="0"/>
          <w:sz w:val="32"/>
          <w:szCs w:val="32"/>
          <w:highlight w:val="none"/>
        </w:rPr>
      </w:pPr>
      <w:r>
        <w:rPr>
          <w:rFonts w:hint="eastAsia" w:ascii="黑体" w:hAnsi="黑体" w:eastAsia="黑体" w:cs="黑体"/>
          <w:b w:val="0"/>
          <w:bCs/>
          <w:i w:val="0"/>
          <w:iCs w:val="0"/>
          <w:sz w:val="32"/>
          <w:szCs w:val="32"/>
          <w:highlight w:val="none"/>
        </w:rPr>
        <w:t>已标价的工程量清单</w:t>
      </w:r>
    </w:p>
    <w:p>
      <w:pPr>
        <w:spacing w:line="360" w:lineRule="auto"/>
        <w:ind w:firstLine="460" w:firstLineChars="200"/>
        <w:contextualSpacing/>
        <w:rPr>
          <w:rFonts w:hint="eastAsia" w:ascii="仿宋_GB2312" w:hAnsi="仿宋_GB2312" w:eastAsia="仿宋_GB2312" w:cs="仿宋_GB2312"/>
          <w:i w:val="0"/>
          <w:iCs w:val="0"/>
          <w:spacing w:val="10"/>
          <w:sz w:val="21"/>
          <w:szCs w:val="21"/>
          <w:highlight w:val="none"/>
        </w:rPr>
      </w:pPr>
      <w:r>
        <w:rPr>
          <w:rFonts w:hint="eastAsia" w:ascii="仿宋_GB2312" w:hAnsi="仿宋_GB2312" w:eastAsia="仿宋_GB2312" w:cs="仿宋_GB2312"/>
          <w:i w:val="0"/>
          <w:iCs w:val="0"/>
          <w:spacing w:val="10"/>
          <w:sz w:val="21"/>
          <w:szCs w:val="21"/>
          <w:highlight w:val="none"/>
        </w:rPr>
        <w:t>按招标文件格式要求。</w:t>
      </w:r>
    </w:p>
    <w:p>
      <w:pPr>
        <w:rPr>
          <w:rFonts w:hint="eastAsia" w:ascii="黑体" w:hAnsi="黑体" w:eastAsia="黑体"/>
          <w:b w:val="0"/>
          <w:bCs w:val="0"/>
          <w:i w:val="0"/>
          <w:iCs w:val="0"/>
          <w:highlight w:val="none"/>
        </w:rPr>
      </w:pPr>
      <w:r>
        <w:rPr>
          <w:i w:val="0"/>
          <w:iCs w:val="0"/>
          <w:highlight w:val="none"/>
        </w:rPr>
        <w:br w:type="page"/>
      </w:r>
    </w:p>
    <w:p>
      <w:pPr>
        <w:rPr>
          <w:rFonts w:hint="eastAsia" w:ascii="黑体" w:hAnsi="黑体" w:eastAsia="黑体"/>
          <w:b w:val="0"/>
          <w:bCs w:val="0"/>
          <w:i w:val="0"/>
          <w:iCs w:val="0"/>
          <w:highlight w:val="none"/>
        </w:rPr>
      </w:pPr>
    </w:p>
    <w:p>
      <w:pPr>
        <w:rPr>
          <w:rFonts w:hint="eastAsia" w:ascii="黑体" w:hAnsi="黑体" w:eastAsia="黑体"/>
          <w:b w:val="0"/>
          <w:bCs w:val="0"/>
          <w:i w:val="0"/>
          <w:iCs w:val="0"/>
          <w:highlight w:val="none"/>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keepLines/>
        <w:spacing w:before="260" w:after="260" w:line="415" w:lineRule="auto"/>
        <w:jc w:val="center"/>
        <w:outlineLvl w:val="1"/>
        <w:rPr>
          <w:rFonts w:hint="eastAsia" w:ascii="仿宋_GB2312" w:hAnsi="宋体" w:eastAsia="仿宋_GB2312"/>
          <w:i w:val="0"/>
          <w:iCs w:val="0"/>
          <w:kern w:val="0"/>
          <w:sz w:val="24"/>
          <w:szCs w:val="20"/>
          <w:highlight w:val="none"/>
        </w:rPr>
      </w:pPr>
    </w:p>
    <w:bookmarkEnd w:id="537"/>
    <w:bookmarkEnd w:id="538"/>
    <w:bookmarkEnd w:id="539"/>
    <w:bookmarkEnd w:id="540"/>
    <w:bookmarkEnd w:id="541"/>
    <w:p>
      <w:pPr>
        <w:pStyle w:val="2"/>
        <w:jc w:val="center"/>
        <w:rPr>
          <w:i w:val="0"/>
          <w:iCs w:val="0"/>
          <w:highlight w:val="none"/>
        </w:rPr>
      </w:pPr>
      <w:bookmarkStart w:id="645" w:name="_Toc247527819"/>
      <w:bookmarkStart w:id="646" w:name="_Toc247514232"/>
      <w:bookmarkStart w:id="647" w:name="_Toc24286"/>
      <w:r>
        <w:rPr>
          <w:rFonts w:hint="eastAsia" w:ascii="黑体" w:hAnsi="黑体" w:eastAsia="黑体" w:cs="黑体"/>
          <w:b w:val="0"/>
          <w:bCs w:val="0"/>
          <w:i w:val="0"/>
          <w:iCs w:val="0"/>
          <w:highlight w:val="none"/>
        </w:rPr>
        <w:t>第二卷</w:t>
      </w:r>
      <w:bookmarkEnd w:id="645"/>
      <w:bookmarkEnd w:id="646"/>
      <w:bookmarkEnd w:id="647"/>
    </w:p>
    <w:p>
      <w:pPr>
        <w:pStyle w:val="2"/>
        <w:jc w:val="center"/>
        <w:rPr>
          <w:i w:val="0"/>
          <w:iCs w:val="0"/>
          <w:highlight w:val="none"/>
        </w:rPr>
      </w:pPr>
      <w:bookmarkStart w:id="648" w:name="_Toc2324"/>
      <w:r>
        <w:rPr>
          <w:rFonts w:hint="eastAsia" w:ascii="黑体" w:hAnsi="黑体" w:eastAsia="黑体"/>
          <w:b w:val="0"/>
          <w:bCs w:val="0"/>
          <w:i w:val="0"/>
          <w:iCs w:val="0"/>
          <w:highlight w:val="none"/>
          <w:lang w:eastAsia="zh-CN"/>
        </w:rPr>
        <w:drawing>
          <wp:anchor distT="0" distB="0" distL="114300" distR="114300" simplePos="0" relativeHeight="251659264" behindDoc="0" locked="0" layoutInCell="1" allowOverlap="1">
            <wp:simplePos x="0" y="0"/>
            <wp:positionH relativeFrom="column">
              <wp:posOffset>5715</wp:posOffset>
            </wp:positionH>
            <wp:positionV relativeFrom="paragraph">
              <wp:posOffset>3529330</wp:posOffset>
            </wp:positionV>
            <wp:extent cx="6121400" cy="483235"/>
            <wp:effectExtent l="0" t="0" r="12700" b="12065"/>
            <wp:wrapNone/>
            <wp:docPr id="2" name="图片 2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3" descr="图片1"/>
                    <pic:cNvPicPr>
                      <a:picLocks noChangeAspect="1"/>
                    </pic:cNvPicPr>
                  </pic:nvPicPr>
                  <pic:blipFill>
                    <a:blip r:embed="rId9"/>
                    <a:srcRect t="568" r="40617" b="45461"/>
                    <a:stretch>
                      <a:fillRect/>
                    </a:stretch>
                  </pic:blipFill>
                  <pic:spPr>
                    <a:xfrm>
                      <a:off x="0" y="0"/>
                      <a:ext cx="6121400" cy="483235"/>
                    </a:xfrm>
                    <a:prstGeom prst="rect">
                      <a:avLst/>
                    </a:prstGeom>
                    <a:noFill/>
                    <a:ln>
                      <a:noFill/>
                    </a:ln>
                  </pic:spPr>
                </pic:pic>
              </a:graphicData>
            </a:graphic>
          </wp:anchor>
        </w:drawing>
      </w:r>
      <w:r>
        <w:rPr>
          <w:i w:val="0"/>
          <w:iCs w:val="0"/>
          <w:highlight w:val="none"/>
        </w:rPr>
        <w:br w:type="page"/>
      </w:r>
      <w:bookmarkStart w:id="649" w:name="_Toc247514233"/>
      <w:bookmarkStart w:id="650" w:name="_Toc144974851"/>
      <w:bookmarkStart w:id="651" w:name="_Toc152042571"/>
      <w:bookmarkStart w:id="652" w:name="_Toc247527820"/>
      <w:bookmarkStart w:id="653" w:name="_Toc152045782"/>
      <w:r>
        <w:rPr>
          <w:rFonts w:hint="eastAsia" w:ascii="黑体" w:hAnsi="黑体" w:eastAsia="黑体" w:cs="黑体"/>
          <w:b w:val="0"/>
          <w:bCs w:val="0"/>
          <w:i w:val="0"/>
          <w:iCs w:val="0"/>
          <w:highlight w:val="none"/>
        </w:rPr>
        <w:t xml:space="preserve">第五章  </w:t>
      </w:r>
      <w:bookmarkEnd w:id="649"/>
      <w:bookmarkEnd w:id="650"/>
      <w:bookmarkEnd w:id="651"/>
      <w:bookmarkEnd w:id="652"/>
      <w:bookmarkEnd w:id="653"/>
      <w:r>
        <w:rPr>
          <w:rFonts w:hint="eastAsia" w:ascii="黑体" w:hAnsi="黑体" w:eastAsia="黑体" w:cs="黑体"/>
          <w:b w:val="0"/>
          <w:bCs w:val="0"/>
          <w:i w:val="0"/>
          <w:iCs w:val="0"/>
          <w:highlight w:val="none"/>
        </w:rPr>
        <w:t>发包人要求</w:t>
      </w:r>
      <w:bookmarkEnd w:id="648"/>
    </w:p>
    <w:p>
      <w:pPr>
        <w:spacing w:line="400" w:lineRule="exact"/>
        <w:jc w:val="center"/>
        <w:rPr>
          <w:rFonts w:hint="eastAsia"/>
          <w:b/>
          <w:i w:val="0"/>
          <w:iCs w:val="0"/>
          <w:sz w:val="32"/>
          <w:szCs w:val="32"/>
          <w:highlight w:val="none"/>
        </w:rPr>
      </w:pPr>
      <w:r>
        <w:rPr>
          <w:rFonts w:hint="eastAsia" w:ascii="黑体" w:hAnsi="黑体" w:eastAsia="黑体" w:cs="黑体"/>
          <w:b w:val="0"/>
          <w:bCs/>
          <w:i w:val="0"/>
          <w:iCs w:val="0"/>
          <w:sz w:val="32"/>
          <w:szCs w:val="32"/>
          <w:highlight w:val="none"/>
        </w:rPr>
        <w:t>发包人要求</w:t>
      </w:r>
    </w:p>
    <w:p>
      <w:pPr>
        <w:spacing w:line="400" w:lineRule="exact"/>
        <w:rPr>
          <w:rFonts w:hint="eastAsia"/>
          <w:i w:val="0"/>
          <w:iCs w:val="0"/>
          <w:highlight w:val="none"/>
        </w:rPr>
      </w:pP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发包人要求应尽可能清晰准确，对于可以进行定量评估的工作，发包人要求不仅应明确规定其功能、用途、质量、环境、安全，并且要规定计算方法，以及试验、试运行的具体要求。对于承包人负责提供的有关设备和服务，对发包人人员进行培训和提供一些消耗品等，在发包人要求中应一并明确规定。</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发包人要求通常包括但不限于以下内容：</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一、功能要求</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（一）工程的目的。</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（二）工程规模。</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二、工程范围</w:t>
      </w:r>
    </w:p>
    <w:p>
      <w:pPr>
        <w:spacing w:line="400" w:lineRule="exact"/>
        <w:ind w:firstLine="630" w:firstLineChars="3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（一）概述</w:t>
      </w:r>
    </w:p>
    <w:p>
      <w:pPr>
        <w:spacing w:line="400" w:lineRule="exact"/>
        <w:ind w:firstLine="630" w:firstLineChars="3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（二）包括的工作</w:t>
      </w:r>
    </w:p>
    <w:p>
      <w:pPr>
        <w:spacing w:line="440" w:lineRule="exact"/>
        <w:ind w:firstLine="986" w:firstLineChars="4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1.采购、施工、服务等工作范围。</w:t>
      </w:r>
    </w:p>
    <w:p>
      <w:pPr>
        <w:spacing w:line="440" w:lineRule="exact"/>
        <w:ind w:firstLine="986" w:firstLineChars="470"/>
        <w:rPr>
          <w:rFonts w:hint="eastAsia" w:ascii="仿宋_GB2312" w:hAnsi="仿宋_GB2312" w:eastAsia="仿宋_GB2312" w:cs="仿宋_GB2312"/>
          <w:i w:val="0"/>
          <w:iCs w:val="0"/>
          <w:szCs w:val="21"/>
          <w:highlight w:val="none"/>
        </w:rPr>
      </w:pPr>
    </w:p>
    <w:p>
      <w:pPr>
        <w:spacing w:line="440" w:lineRule="exact"/>
        <w:ind w:firstLine="986" w:firstLineChars="4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 验收工作范围。</w:t>
      </w:r>
    </w:p>
    <w:p>
      <w:pPr>
        <w:spacing w:line="440" w:lineRule="exact"/>
        <w:ind w:firstLine="986" w:firstLineChars="4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 服务工作范围。</w:t>
      </w:r>
    </w:p>
    <w:p>
      <w:pPr>
        <w:spacing w:line="440" w:lineRule="exact"/>
        <w:ind w:firstLine="986" w:firstLineChars="4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 培训工作范围。</w:t>
      </w:r>
    </w:p>
    <w:p>
      <w:pPr>
        <w:spacing w:line="440" w:lineRule="exact"/>
        <w:ind w:firstLine="986" w:firstLineChars="4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 保修工作范围。</w:t>
      </w:r>
    </w:p>
    <w:p>
      <w:pPr>
        <w:spacing w:line="440" w:lineRule="exact"/>
        <w:ind w:firstLine="539" w:firstLineChars="257"/>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（三）工作界区</w:t>
      </w:r>
    </w:p>
    <w:p>
      <w:pPr>
        <w:spacing w:line="400" w:lineRule="exact"/>
        <w:ind w:firstLine="539" w:firstLineChars="257"/>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（四）发包人提供的现场条件</w:t>
      </w:r>
    </w:p>
    <w:p>
      <w:pPr>
        <w:spacing w:line="440" w:lineRule="exact"/>
        <w:ind w:firstLine="986" w:firstLineChars="4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 施工用电。</w:t>
      </w:r>
    </w:p>
    <w:p>
      <w:pPr>
        <w:spacing w:line="440" w:lineRule="exact"/>
        <w:ind w:firstLine="986" w:firstLineChars="4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 施工用水。</w:t>
      </w:r>
    </w:p>
    <w:p>
      <w:pPr>
        <w:spacing w:line="440" w:lineRule="exact"/>
        <w:ind w:firstLine="1003" w:firstLineChars="478"/>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szCs w:val="21"/>
          <w:highlight w:val="none"/>
        </w:rPr>
        <w:t>3. 施工排水。</w:t>
      </w:r>
      <w:r>
        <w:rPr>
          <w:rFonts w:hint="eastAsia" w:ascii="仿宋_GB2312" w:hAnsi="仿宋_GB2312" w:eastAsia="仿宋_GB2312" w:cs="仿宋_GB2312"/>
          <w:i w:val="0"/>
          <w:iCs w:val="0"/>
          <w:highlight w:val="none"/>
        </w:rPr>
        <w:tab/>
      </w:r>
    </w:p>
    <w:p>
      <w:pPr>
        <w:spacing w:line="440" w:lineRule="exact"/>
        <w:ind w:firstLine="1003" w:firstLineChars="478"/>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4.公共进场道路。</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     （五）发包人提供的技术文件</w:t>
      </w:r>
    </w:p>
    <w:p>
      <w:pPr>
        <w:spacing w:line="440" w:lineRule="exact"/>
        <w:ind w:firstLine="898" w:firstLineChars="428"/>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除另有批准外，承包人的工作需要遵照发包人的下列技术文件：</w:t>
      </w:r>
    </w:p>
    <w:p>
      <w:pPr>
        <w:spacing w:line="440" w:lineRule="exact"/>
        <w:ind w:firstLine="898" w:firstLineChars="428"/>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 发包人需求任务书。</w:t>
      </w:r>
    </w:p>
    <w:p>
      <w:pPr>
        <w:spacing w:line="440" w:lineRule="exact"/>
        <w:ind w:firstLine="898" w:firstLineChars="428"/>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 发包人已完成的设计文件。</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三、工艺安排或要求（如有）</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四、时间要求</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（一）开始工作时间。</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（二）设计完成时间。</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（三）进度计划。</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（四）完工时间。</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（五）缺陷责任期。</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（六）其他时间要求。</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五、联合试运行</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按国家、水利部颁发的相关规程规范执行。</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六、竣工验收</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七、文件要求</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（一）沟通计划。</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（二）风险管理计划。</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（三）文件和工程的其他记录。</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（四）操作和维修手册。</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（五）其他承包人文件。</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九、工程项目管理规定</w:t>
      </w:r>
    </w:p>
    <w:p>
      <w:pPr>
        <w:spacing w:line="400" w:lineRule="exact"/>
        <w:ind w:firstLine="525" w:firstLineChars="25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（一）质量。</w:t>
      </w:r>
    </w:p>
    <w:p>
      <w:pPr>
        <w:spacing w:line="400" w:lineRule="exact"/>
        <w:ind w:firstLine="525" w:firstLineChars="25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（二）进度，包括里程碑进度计划（如果有）。</w:t>
      </w:r>
    </w:p>
    <w:p>
      <w:pPr>
        <w:spacing w:line="400" w:lineRule="exact"/>
        <w:ind w:firstLine="525" w:firstLineChars="25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（三）支付。</w:t>
      </w:r>
    </w:p>
    <w:p>
      <w:pPr>
        <w:spacing w:line="400" w:lineRule="exact"/>
        <w:ind w:firstLine="525" w:firstLineChars="25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（四）HSE（健康、安全与环境管理体系）。</w:t>
      </w:r>
    </w:p>
    <w:p>
      <w:pPr>
        <w:spacing w:line="400" w:lineRule="exact"/>
        <w:ind w:firstLine="525" w:firstLineChars="25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（五）沟通。</w:t>
      </w:r>
    </w:p>
    <w:p>
      <w:pPr>
        <w:spacing w:line="400" w:lineRule="exact"/>
        <w:ind w:firstLine="525" w:firstLineChars="25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（六）变更。</w:t>
      </w:r>
    </w:p>
    <w:p>
      <w:pPr>
        <w:spacing w:line="440" w:lineRule="exact"/>
        <w:ind w:firstLine="359" w:firstLineChars="171"/>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十、其他要求</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（一）对承包人的主要人员资格要求。</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（二）相关审批、核准和备案手续的办理。</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（三）对项目业主人员的操作培训。</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（四）分包。</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工程总承包单位可以将工程的施工业务分包给具备相应资质的单位拟分包的项目需在投标文件中明确分包方案，选定的分包单位也需报项目法人备案。分包资质具体要求见投标须知前附表。</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（四）设备供应商。</w:t>
      </w:r>
    </w:p>
    <w:p>
      <w:pPr>
        <w:spacing w:line="440" w:lineRule="exact"/>
        <w:ind w:firstLine="567" w:firstLineChars="27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（六）缺陷责任期的服务要求。</w:t>
      </w:r>
    </w:p>
    <w:p>
      <w:pPr>
        <w:spacing w:line="440" w:lineRule="exact"/>
        <w:ind w:firstLine="567" w:firstLineChars="270"/>
        <w:rPr>
          <w:rFonts w:hint="eastAsia"/>
          <w:i w:val="0"/>
          <w:iCs w:val="0"/>
          <w:szCs w:val="21"/>
          <w:highlight w:val="none"/>
        </w:rPr>
      </w:pPr>
    </w:p>
    <w:p>
      <w:pPr>
        <w:spacing w:line="400" w:lineRule="exact"/>
        <w:jc w:val="center"/>
        <w:rPr>
          <w:rFonts w:hint="eastAsia"/>
          <w:b/>
          <w:i w:val="0"/>
          <w:iCs w:val="0"/>
          <w:sz w:val="32"/>
          <w:szCs w:val="32"/>
          <w:highlight w:val="none"/>
        </w:rPr>
      </w:pPr>
      <w:r>
        <w:rPr>
          <w:rFonts w:ascii="宋体" w:hAnsi="宋体"/>
          <w:i w:val="0"/>
          <w:iCs w:val="0"/>
          <w:szCs w:val="21"/>
          <w:highlight w:val="none"/>
        </w:rPr>
        <w:br w:type="page"/>
      </w:r>
      <w:r>
        <w:rPr>
          <w:rFonts w:hint="eastAsia" w:ascii="黑体" w:hAnsi="黑体" w:eastAsia="黑体" w:cs="黑体"/>
          <w:b w:val="0"/>
          <w:bCs/>
          <w:i w:val="0"/>
          <w:iCs w:val="0"/>
          <w:sz w:val="32"/>
          <w:szCs w:val="32"/>
          <w:highlight w:val="none"/>
        </w:rPr>
        <w:t>发包人要求附件清单</w:t>
      </w:r>
    </w:p>
    <w:p>
      <w:pPr>
        <w:spacing w:line="400" w:lineRule="exact"/>
        <w:jc w:val="center"/>
        <w:rPr>
          <w:rFonts w:hint="eastAsia"/>
          <w:i w:val="0"/>
          <w:iCs w:val="0"/>
          <w:highlight w:val="none"/>
        </w:rPr>
      </w:pP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附件一：发包人需求任务书</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附件二：发包人已完成的设计文件</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附件三：承包人文件要求</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附件四：承包人人员资格要求及审查规定</w:t>
      </w:r>
    </w:p>
    <w:p>
      <w:pPr>
        <w:spacing w:line="400" w:lineRule="exact"/>
        <w:rPr>
          <w:rFonts w:hint="eastAsia" w:ascii="仿宋_GB2312" w:hAnsi="仿宋_GB2312" w:eastAsia="仿宋_GB2312" w:cs="仿宋_GB2312"/>
          <w:i w:val="0"/>
          <w:iCs w:val="0"/>
          <w:highlight w:val="none"/>
        </w:rPr>
      </w:pP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附件五：承包人采购审查与批准规定</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 </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附件六：验收规定</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附件七：联合试运行规定</w:t>
      </w: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附件八：工程项目管理规定</w:t>
      </w:r>
    </w:p>
    <w:p>
      <w:pPr>
        <w:spacing w:line="400" w:lineRule="exact"/>
        <w:rPr>
          <w:rFonts w:hint="eastAsia" w:ascii="仿宋_GB2312" w:hAnsi="仿宋_GB2312" w:eastAsia="仿宋_GB2312" w:cs="仿宋_GB2312"/>
          <w:i w:val="0"/>
          <w:iCs w:val="0"/>
          <w:highlight w:val="none"/>
        </w:rPr>
      </w:pPr>
    </w:p>
    <w:p>
      <w:pPr>
        <w:spacing w:line="400" w:lineRule="exact"/>
        <w:rPr>
          <w:rFonts w:hint="eastAsia" w:ascii="仿宋_GB2312" w:hAnsi="仿宋_GB2312" w:eastAsia="仿宋_GB2312" w:cs="仿宋_GB2312"/>
          <w:i w:val="0"/>
          <w:iCs w:val="0"/>
          <w:highlight w:val="none"/>
        </w:rPr>
      </w:pPr>
    </w:p>
    <w:p>
      <w:pPr>
        <w:spacing w:line="40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b/>
          <w:i w:val="0"/>
          <w:iCs w:val="0"/>
          <w:highlight w:val="none"/>
          <w:u w:val="single"/>
        </w:rPr>
        <w:t>（说明：招标人根据项目情况进行修改和补充）</w:t>
      </w:r>
    </w:p>
    <w:p>
      <w:pPr>
        <w:pStyle w:val="2"/>
        <w:jc w:val="center"/>
        <w:rPr>
          <w:rFonts w:hint="eastAsia" w:ascii="黑体" w:hAnsi="黑体" w:eastAsia="黑体" w:cs="黑体"/>
          <w:b w:val="0"/>
          <w:bCs w:val="0"/>
          <w:i w:val="0"/>
          <w:iCs w:val="0"/>
          <w:highlight w:val="none"/>
        </w:rPr>
      </w:pPr>
      <w:r>
        <w:rPr>
          <w:i w:val="0"/>
          <w:iCs w:val="0"/>
          <w:highlight w:val="none"/>
        </w:rPr>
        <w:br w:type="page"/>
      </w:r>
      <w:bookmarkStart w:id="654" w:name="_Toc5009"/>
      <w:r>
        <w:rPr>
          <w:rFonts w:hint="eastAsia" w:ascii="黑体" w:hAnsi="黑体" w:eastAsia="黑体" w:cs="黑体"/>
          <w:b w:val="0"/>
          <w:bCs w:val="0"/>
          <w:i w:val="0"/>
          <w:iCs w:val="0"/>
          <w:highlight w:val="none"/>
        </w:rPr>
        <w:t>第六章  发包人提供的资料</w:t>
      </w:r>
      <w:bookmarkEnd w:id="654"/>
    </w:p>
    <w:p>
      <w:pPr>
        <w:spacing w:line="400" w:lineRule="exact"/>
        <w:jc w:val="center"/>
        <w:rPr>
          <w:rFonts w:hint="eastAsia" w:ascii="黑体" w:hAnsi="黑体" w:eastAsia="黑体" w:cs="黑体"/>
          <w:b w:val="0"/>
          <w:bCs w:val="0"/>
          <w:i w:val="0"/>
          <w:iCs w:val="0"/>
          <w:sz w:val="32"/>
          <w:szCs w:val="32"/>
          <w:highlight w:val="none"/>
        </w:rPr>
      </w:pPr>
      <w:r>
        <w:rPr>
          <w:rFonts w:hint="eastAsia" w:ascii="黑体" w:hAnsi="黑体" w:eastAsia="黑体" w:cs="黑体"/>
          <w:b w:val="0"/>
          <w:bCs w:val="0"/>
          <w:i w:val="0"/>
          <w:iCs w:val="0"/>
          <w:sz w:val="32"/>
          <w:szCs w:val="32"/>
          <w:highlight w:val="none"/>
        </w:rPr>
        <w:t>发包人提供的资料</w:t>
      </w:r>
    </w:p>
    <w:p>
      <w:pPr>
        <w:rPr>
          <w:rFonts w:hint="eastAsia"/>
          <w:b/>
          <w:i w:val="0"/>
          <w:iCs w:val="0"/>
          <w:sz w:val="30"/>
          <w:szCs w:val="30"/>
          <w:highlight w:val="none"/>
        </w:rPr>
      </w:pP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一、项目概况</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二、发包人提供的资料</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1. 施工场地及毗邻区域内的气象和水文观测资料，相邻建筑物和构筑物、地下工程的有关资料，以及其他与建设工程有关的原始资料。</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2. 发包人取得的有关审批、核准和备案材料，如规划许可证。</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3．其他资料。</w:t>
      </w:r>
    </w:p>
    <w:p>
      <w:pPr>
        <w:spacing w:line="360" w:lineRule="auto"/>
        <w:ind w:firstLine="421" w:firstLineChars="200"/>
        <w:rPr>
          <w:rFonts w:hint="eastAsia" w:ascii="仿宋_GB2312" w:hAnsi="仿宋_GB2312" w:eastAsia="仿宋_GB2312" w:cs="仿宋_GB2312"/>
          <w:b/>
          <w:i w:val="0"/>
          <w:iCs w:val="0"/>
          <w:kern w:val="0"/>
          <w:sz w:val="21"/>
          <w:szCs w:val="21"/>
          <w:highlight w:val="none"/>
          <w:u w:val="single"/>
        </w:rPr>
      </w:pPr>
      <w:r>
        <w:rPr>
          <w:rFonts w:hint="eastAsia" w:ascii="仿宋_GB2312" w:hAnsi="仿宋_GB2312" w:eastAsia="仿宋_GB2312" w:cs="仿宋_GB2312"/>
          <w:b/>
          <w:i w:val="0"/>
          <w:iCs w:val="0"/>
          <w:kern w:val="0"/>
          <w:sz w:val="21"/>
          <w:szCs w:val="21"/>
          <w:highlight w:val="none"/>
          <w:u w:val="single"/>
        </w:rPr>
        <w:t>（说明：发包人公开发包前已完成可行性研究报告、勘测设计文件编制的，招标过程中应将已完成的可研报告、初步设计报告等作为招标文件的附件进行公布）</w:t>
      </w:r>
    </w:p>
    <w:p>
      <w:pPr>
        <w:spacing w:line="360" w:lineRule="auto"/>
        <w:ind w:firstLine="420" w:firstLineChars="200"/>
        <w:rPr>
          <w:rFonts w:hint="eastAsia" w:ascii="仿宋_GB2312" w:hAnsi="仿宋_GB2312" w:eastAsia="仿宋_GB2312" w:cs="仿宋_GB2312"/>
          <w:i w:val="0"/>
          <w:iCs w:val="0"/>
          <w:sz w:val="21"/>
          <w:szCs w:val="21"/>
          <w:highlight w:val="none"/>
        </w:rPr>
      </w:pPr>
    </w:p>
    <w:p>
      <w:pPr>
        <w:rPr>
          <w:rFonts w:hint="eastAsia" w:ascii="黑体" w:hAnsi="黑体" w:eastAsia="黑体"/>
          <w:b w:val="0"/>
          <w:bCs w:val="0"/>
          <w:i w:val="0"/>
          <w:iCs w:val="0"/>
          <w:highlight w:val="none"/>
        </w:rPr>
      </w:pPr>
      <w:r>
        <w:rPr>
          <w:i w:val="0"/>
          <w:iCs w:val="0"/>
          <w:highlight w:val="none"/>
        </w:rPr>
        <w:br w:type="page"/>
      </w:r>
    </w:p>
    <w:p>
      <w:pPr>
        <w:rPr>
          <w:rFonts w:hint="eastAsia" w:ascii="黑体" w:hAnsi="黑体" w:eastAsia="黑体"/>
          <w:b w:val="0"/>
          <w:bCs w:val="0"/>
          <w:i w:val="0"/>
          <w:iCs w:val="0"/>
          <w:highlight w:val="none"/>
        </w:rPr>
      </w:pPr>
    </w:p>
    <w:p>
      <w:pPr>
        <w:rPr>
          <w:rFonts w:hint="eastAsia" w:ascii="黑体" w:hAnsi="黑体" w:eastAsia="黑体"/>
          <w:b w:val="0"/>
          <w:bCs w:val="0"/>
          <w:i w:val="0"/>
          <w:iCs w:val="0"/>
          <w:highlight w:val="none"/>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keepNext w:val="0"/>
        <w:keepLines w:val="0"/>
        <w:pageBreakBefore w:val="0"/>
        <w:widowControl w:val="0"/>
        <w:kinsoku/>
        <w:wordWrap/>
        <w:overflowPunct/>
        <w:topLinePunct w:val="0"/>
        <w:autoSpaceDE/>
        <w:autoSpaceDN/>
        <w:adjustRightInd/>
        <w:snapToGrid/>
        <w:spacing w:line="400" w:lineRule="exact"/>
        <w:jc w:val="both"/>
        <w:textAlignment w:val="auto"/>
        <w:rPr>
          <w:rFonts w:hint="default" w:ascii="宋体" w:hAnsi="宋体" w:eastAsia="宋体"/>
          <w:b w:val="0"/>
          <w:i w:val="0"/>
          <w:iCs w:val="0"/>
          <w:sz w:val="21"/>
          <w:highlight w:val="none"/>
          <w:u w:val="none"/>
          <w:lang w:val="en-US" w:eastAsia="zh-CN"/>
        </w:rPr>
      </w:pPr>
    </w:p>
    <w:p>
      <w:pPr>
        <w:pStyle w:val="2"/>
        <w:jc w:val="center"/>
        <w:rPr>
          <w:i w:val="0"/>
          <w:iCs w:val="0"/>
          <w:highlight w:val="none"/>
        </w:rPr>
      </w:pPr>
      <w:bookmarkStart w:id="655" w:name="_Toc32690"/>
      <w:r>
        <w:rPr>
          <w:rFonts w:hint="eastAsia" w:ascii="黑体" w:hAnsi="黑体" w:eastAsia="黑体" w:cs="黑体"/>
          <w:b w:val="0"/>
          <w:bCs w:val="0"/>
          <w:i w:val="0"/>
          <w:iCs w:val="0"/>
          <w:highlight w:val="none"/>
        </w:rPr>
        <w:t>第三</w:t>
      </w:r>
      <w:r>
        <w:rPr>
          <w:rFonts w:hint="eastAsia" w:ascii="黑体" w:hAnsi="黑体" w:eastAsia="黑体"/>
          <w:b w:val="0"/>
          <w:bCs w:val="0"/>
          <w:i w:val="0"/>
          <w:iCs w:val="0"/>
          <w:highlight w:val="none"/>
          <w:lang w:eastAsia="zh-CN"/>
        </w:rPr>
        <w:drawing>
          <wp:anchor distT="0" distB="0" distL="114300" distR="114300" simplePos="0" relativeHeight="251660288" behindDoc="0" locked="0" layoutInCell="1" allowOverlap="1">
            <wp:simplePos x="0" y="0"/>
            <wp:positionH relativeFrom="column">
              <wp:posOffset>5715</wp:posOffset>
            </wp:positionH>
            <wp:positionV relativeFrom="paragraph">
              <wp:posOffset>5007610</wp:posOffset>
            </wp:positionV>
            <wp:extent cx="6121400" cy="483235"/>
            <wp:effectExtent l="0" t="0" r="12700" b="12065"/>
            <wp:wrapNone/>
            <wp:docPr id="3" name="图片 2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3" descr="图片1"/>
                    <pic:cNvPicPr>
                      <a:picLocks noChangeAspect="1"/>
                    </pic:cNvPicPr>
                  </pic:nvPicPr>
                  <pic:blipFill>
                    <a:blip r:embed="rId9"/>
                    <a:srcRect t="568" r="40617" b="45461"/>
                    <a:stretch>
                      <a:fillRect/>
                    </a:stretch>
                  </pic:blipFill>
                  <pic:spPr>
                    <a:xfrm>
                      <a:off x="0" y="0"/>
                      <a:ext cx="6121400" cy="483235"/>
                    </a:xfrm>
                    <a:prstGeom prst="rect">
                      <a:avLst/>
                    </a:prstGeom>
                    <a:noFill/>
                    <a:ln>
                      <a:noFill/>
                    </a:ln>
                  </pic:spPr>
                </pic:pic>
              </a:graphicData>
            </a:graphic>
          </wp:anchor>
        </w:drawing>
      </w:r>
      <w:r>
        <w:rPr>
          <w:rFonts w:hint="eastAsia" w:ascii="黑体" w:hAnsi="黑体" w:eastAsia="黑体" w:cs="黑体"/>
          <w:b w:val="0"/>
          <w:bCs w:val="0"/>
          <w:i w:val="0"/>
          <w:iCs w:val="0"/>
          <w:highlight w:val="none"/>
        </w:rPr>
        <w:t>卷</w:t>
      </w:r>
      <w:r>
        <w:rPr>
          <w:i w:val="0"/>
          <w:iCs w:val="0"/>
          <w:highlight w:val="none"/>
        </w:rPr>
        <w:br w:type="page"/>
      </w:r>
      <w:bookmarkEnd w:id="655"/>
      <w:bookmarkStart w:id="656" w:name="_Toc247514245"/>
      <w:bookmarkStart w:id="657" w:name="_Toc152045786"/>
      <w:bookmarkStart w:id="658" w:name="_Toc152042575"/>
      <w:bookmarkStart w:id="659" w:name="_Toc247527826"/>
      <w:bookmarkStart w:id="660" w:name="_Toc144974855"/>
    </w:p>
    <w:p>
      <w:pPr>
        <w:pStyle w:val="2"/>
        <w:jc w:val="center"/>
        <w:rPr>
          <w:rFonts w:hint="eastAsia" w:ascii="黑体" w:hAnsi="黑体" w:eastAsia="黑体" w:cs="黑体"/>
          <w:b w:val="0"/>
          <w:bCs w:val="0"/>
          <w:i w:val="0"/>
          <w:iCs w:val="0"/>
          <w:highlight w:val="none"/>
        </w:rPr>
      </w:pPr>
      <w:bookmarkStart w:id="661" w:name="_Toc25522"/>
      <w:r>
        <w:rPr>
          <w:rFonts w:hint="eastAsia" w:ascii="黑体" w:hAnsi="黑体" w:eastAsia="黑体" w:cs="黑体"/>
          <w:b w:val="0"/>
          <w:bCs w:val="0"/>
          <w:i w:val="0"/>
          <w:iCs w:val="0"/>
          <w:highlight w:val="none"/>
        </w:rPr>
        <w:t>第七章  投标文件格式</w:t>
      </w:r>
      <w:bookmarkEnd w:id="656"/>
      <w:bookmarkEnd w:id="657"/>
      <w:bookmarkEnd w:id="658"/>
      <w:bookmarkEnd w:id="659"/>
      <w:bookmarkEnd w:id="660"/>
      <w:bookmarkEnd w:id="661"/>
    </w:p>
    <w:p>
      <w:pPr>
        <w:spacing w:line="440" w:lineRule="exact"/>
        <w:rPr>
          <w:rFonts w:eastAsia="黑体"/>
          <w:i w:val="0"/>
          <w:iCs w:val="0"/>
          <w:sz w:val="20"/>
          <w:szCs w:val="20"/>
          <w:highlight w:val="non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hint="eastAsia" w:eastAsia="黑体"/>
          <w:i w:val="0"/>
          <w:iCs w:val="0"/>
          <w:sz w:val="28"/>
          <w:szCs w:val="28"/>
          <w:highlight w:val="none"/>
          <w:u w:val="single"/>
        </w:rPr>
      </w:pPr>
    </w:p>
    <w:p>
      <w:pPr>
        <w:jc w:val="center"/>
        <w:rPr>
          <w:rFonts w:eastAsia="黑体"/>
          <w:i w:val="0"/>
          <w:iCs w:val="0"/>
          <w:sz w:val="28"/>
          <w:szCs w:val="28"/>
          <w:highlight w:val="none"/>
        </w:rPr>
      </w:pPr>
      <w:r>
        <w:rPr>
          <w:rFonts w:hint="eastAsia" w:eastAsia="黑体"/>
          <w:i w:val="0"/>
          <w:iCs w:val="0"/>
          <w:sz w:val="28"/>
          <w:szCs w:val="28"/>
          <w:highlight w:val="none"/>
          <w:u w:val="single"/>
        </w:rPr>
        <w:t xml:space="preserve">            </w:t>
      </w:r>
      <w:r>
        <w:rPr>
          <w:rFonts w:eastAsia="黑体"/>
          <w:i w:val="0"/>
          <w:iCs w:val="0"/>
          <w:sz w:val="28"/>
          <w:szCs w:val="28"/>
          <w:highlight w:val="none"/>
        </w:rPr>
        <w:t>（项目名称）</w:t>
      </w:r>
      <w:r>
        <w:rPr>
          <w:rFonts w:hint="eastAsia" w:eastAsia="黑体"/>
          <w:i w:val="0"/>
          <w:iCs w:val="0"/>
          <w:sz w:val="28"/>
          <w:szCs w:val="28"/>
          <w:highlight w:val="none"/>
          <w:u w:val="single"/>
        </w:rPr>
        <w:t xml:space="preserve">            </w:t>
      </w:r>
      <w:r>
        <w:rPr>
          <w:rFonts w:eastAsia="黑体"/>
          <w:i w:val="0"/>
          <w:iCs w:val="0"/>
          <w:sz w:val="28"/>
          <w:szCs w:val="28"/>
          <w:highlight w:val="none"/>
        </w:rPr>
        <w:t>（</w:t>
      </w:r>
      <w:r>
        <w:rPr>
          <w:rFonts w:hint="eastAsia" w:eastAsia="黑体"/>
          <w:i w:val="0"/>
          <w:iCs w:val="0"/>
          <w:sz w:val="28"/>
          <w:szCs w:val="28"/>
          <w:highlight w:val="none"/>
          <w:lang w:val="en-US" w:eastAsia="zh-CN"/>
        </w:rPr>
        <w:t>标段</w:t>
      </w:r>
      <w:r>
        <w:rPr>
          <w:rFonts w:eastAsia="黑体"/>
          <w:i w:val="0"/>
          <w:iCs w:val="0"/>
          <w:sz w:val="28"/>
          <w:szCs w:val="28"/>
          <w:highlight w:val="none"/>
        </w:rPr>
        <w:t>名称）</w:t>
      </w:r>
    </w:p>
    <w:p>
      <w:pPr>
        <w:rPr>
          <w:rFonts w:eastAsia="黑体"/>
          <w:i w:val="0"/>
          <w:iCs w:val="0"/>
          <w:sz w:val="20"/>
          <w:szCs w:val="20"/>
          <w:highlight w:val="none"/>
        </w:rPr>
      </w:pPr>
    </w:p>
    <w:p>
      <w:pPr>
        <w:rPr>
          <w:rFonts w:eastAsia="黑体"/>
          <w:i w:val="0"/>
          <w:iCs w:val="0"/>
          <w:sz w:val="20"/>
          <w:szCs w:val="20"/>
          <w:highlight w:val="none"/>
        </w:rPr>
      </w:pPr>
    </w:p>
    <w:p>
      <w:pPr>
        <w:pStyle w:val="3"/>
        <w:spacing w:before="240" w:after="240"/>
        <w:jc w:val="center"/>
        <w:rPr>
          <w:rFonts w:hint="eastAsia" w:ascii="宋体" w:hAnsi="宋体" w:eastAsia="宋体"/>
          <w:i w:val="0"/>
          <w:iCs w:val="0"/>
          <w:sz w:val="36"/>
          <w:szCs w:val="36"/>
          <w:highlight w:val="none"/>
        </w:rPr>
      </w:pPr>
      <w:bookmarkStart w:id="662" w:name="_Toc7413"/>
      <w:r>
        <w:rPr>
          <w:rFonts w:ascii="宋体" w:hAnsi="宋体" w:eastAsia="宋体"/>
          <w:i w:val="0"/>
          <w:iCs w:val="0"/>
          <w:sz w:val="36"/>
          <w:szCs w:val="36"/>
          <w:highlight w:val="none"/>
        </w:rPr>
        <w:t>投标文件</w:t>
      </w:r>
      <w:r>
        <w:rPr>
          <w:rFonts w:hint="eastAsia" w:ascii="宋体" w:hAnsi="宋体" w:eastAsia="宋体"/>
          <w:i w:val="0"/>
          <w:iCs w:val="0"/>
          <w:sz w:val="36"/>
          <w:szCs w:val="36"/>
          <w:highlight w:val="none"/>
        </w:rPr>
        <w:t>（商务标）</w:t>
      </w:r>
      <w:bookmarkEnd w:id="662"/>
    </w:p>
    <w:p>
      <w:pPr>
        <w:jc w:val="center"/>
        <w:rPr>
          <w:rFonts w:hint="eastAsia" w:eastAsia="黑体"/>
          <w:i w:val="0"/>
          <w:iCs w:val="0"/>
          <w:sz w:val="44"/>
          <w:szCs w:val="44"/>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jc w:val="center"/>
        <w:rPr>
          <w:rFonts w:eastAsia="黑体"/>
          <w:i w:val="0"/>
          <w:iCs w:val="0"/>
          <w:sz w:val="28"/>
          <w:szCs w:val="28"/>
          <w:highlight w:val="none"/>
          <w:u w:val="single"/>
        </w:rPr>
      </w:pPr>
      <w:r>
        <w:rPr>
          <w:rFonts w:eastAsia="黑体"/>
          <w:i w:val="0"/>
          <w:iCs w:val="0"/>
          <w:sz w:val="28"/>
          <w:szCs w:val="28"/>
          <w:highlight w:val="none"/>
        </w:rPr>
        <w:t>投标人：</w:t>
      </w:r>
      <w:r>
        <w:rPr>
          <w:rFonts w:eastAsia="黑体"/>
          <w:i w:val="0"/>
          <w:iCs w:val="0"/>
          <w:sz w:val="28"/>
          <w:szCs w:val="28"/>
          <w:highlight w:val="none"/>
          <w:u w:val="single"/>
        </w:rPr>
        <w:t xml:space="preserve">                     </w:t>
      </w:r>
      <w:r>
        <w:rPr>
          <w:rFonts w:hint="eastAsia" w:eastAsia="黑体"/>
          <w:i w:val="0"/>
          <w:iCs w:val="0"/>
          <w:sz w:val="28"/>
          <w:szCs w:val="28"/>
          <w:highlight w:val="none"/>
          <w:u w:val="single"/>
        </w:rPr>
        <w:t xml:space="preserve">  </w:t>
      </w:r>
      <w:r>
        <w:rPr>
          <w:rFonts w:eastAsia="黑体"/>
          <w:i w:val="0"/>
          <w:iCs w:val="0"/>
          <w:sz w:val="28"/>
          <w:szCs w:val="28"/>
          <w:highlight w:val="none"/>
          <w:u w:val="single"/>
        </w:rPr>
        <w:t xml:space="preserve">       </w:t>
      </w:r>
      <w:r>
        <w:rPr>
          <w:rFonts w:eastAsia="黑体"/>
          <w:i w:val="0"/>
          <w:iCs w:val="0"/>
          <w:sz w:val="28"/>
          <w:szCs w:val="28"/>
          <w:highlight w:val="none"/>
        </w:rPr>
        <w:t>（盖单位章）</w:t>
      </w:r>
    </w:p>
    <w:p>
      <w:pPr>
        <w:jc w:val="center"/>
        <w:rPr>
          <w:rFonts w:eastAsia="黑体"/>
          <w:i w:val="0"/>
          <w:iCs w:val="0"/>
          <w:sz w:val="28"/>
          <w:szCs w:val="28"/>
          <w:highlight w:val="none"/>
        </w:rPr>
      </w:pPr>
      <w:r>
        <w:rPr>
          <w:rFonts w:eastAsia="黑体"/>
          <w:i w:val="0"/>
          <w:iCs w:val="0"/>
          <w:sz w:val="28"/>
          <w:szCs w:val="28"/>
          <w:highlight w:val="none"/>
          <w:u w:val="single"/>
        </w:rPr>
        <w:t xml:space="preserve">        </w:t>
      </w:r>
      <w:r>
        <w:rPr>
          <w:rFonts w:eastAsia="黑体"/>
          <w:i w:val="0"/>
          <w:iCs w:val="0"/>
          <w:sz w:val="28"/>
          <w:szCs w:val="28"/>
          <w:highlight w:val="none"/>
        </w:rPr>
        <w:t>年</w:t>
      </w:r>
      <w:r>
        <w:rPr>
          <w:rFonts w:eastAsia="黑体"/>
          <w:i w:val="0"/>
          <w:iCs w:val="0"/>
          <w:sz w:val="28"/>
          <w:szCs w:val="28"/>
          <w:highlight w:val="none"/>
          <w:u w:val="single"/>
        </w:rPr>
        <w:t xml:space="preserve">        </w:t>
      </w:r>
      <w:r>
        <w:rPr>
          <w:rFonts w:eastAsia="黑体"/>
          <w:i w:val="0"/>
          <w:iCs w:val="0"/>
          <w:sz w:val="28"/>
          <w:szCs w:val="28"/>
          <w:highlight w:val="none"/>
        </w:rPr>
        <w:t>月</w:t>
      </w:r>
      <w:r>
        <w:rPr>
          <w:rFonts w:eastAsia="黑体"/>
          <w:i w:val="0"/>
          <w:iCs w:val="0"/>
          <w:sz w:val="28"/>
          <w:szCs w:val="28"/>
          <w:highlight w:val="none"/>
          <w:u w:val="single"/>
        </w:rPr>
        <w:t xml:space="preserve">         </w:t>
      </w:r>
      <w:r>
        <w:rPr>
          <w:rFonts w:eastAsia="黑体"/>
          <w:i w:val="0"/>
          <w:iCs w:val="0"/>
          <w:sz w:val="28"/>
          <w:szCs w:val="28"/>
          <w:highlight w:val="none"/>
        </w:rPr>
        <w:t>日</w:t>
      </w:r>
    </w:p>
    <w:p>
      <w:pPr>
        <w:spacing w:line="440" w:lineRule="exact"/>
        <w:rPr>
          <w:rFonts w:eastAsia="黑体"/>
          <w:i w:val="0"/>
          <w:iCs w:val="0"/>
          <w:sz w:val="20"/>
          <w:szCs w:val="20"/>
          <w:highlight w:val="none"/>
        </w:rPr>
      </w:pPr>
    </w:p>
    <w:p>
      <w:pPr>
        <w:spacing w:line="400" w:lineRule="exact"/>
        <w:jc w:val="center"/>
        <w:rPr>
          <w:rFonts w:hint="eastAsia" w:ascii="黑体" w:hAnsi="黑体" w:eastAsia="黑体" w:cs="黑体"/>
          <w:i w:val="0"/>
          <w:iCs w:val="0"/>
          <w:sz w:val="32"/>
          <w:szCs w:val="32"/>
          <w:highlight w:val="none"/>
        </w:rPr>
      </w:pPr>
      <w:r>
        <w:rPr>
          <w:i w:val="0"/>
          <w:iCs w:val="0"/>
          <w:highlight w:val="none"/>
        </w:rPr>
        <w:br w:type="page"/>
      </w:r>
      <w:bookmarkStart w:id="663" w:name="_Toc152042576"/>
      <w:bookmarkStart w:id="664" w:name="_Toc247514246"/>
      <w:bookmarkStart w:id="665" w:name="_Toc152045787"/>
      <w:bookmarkStart w:id="666" w:name="_Toc144974856"/>
      <w:bookmarkStart w:id="667" w:name="_Toc247527827"/>
      <w:r>
        <w:rPr>
          <w:rFonts w:hint="eastAsia" w:ascii="黑体" w:hAnsi="黑体" w:eastAsia="黑体" w:cs="黑体"/>
          <w:i w:val="0"/>
          <w:iCs w:val="0"/>
          <w:sz w:val="32"/>
          <w:szCs w:val="32"/>
          <w:highlight w:val="none"/>
        </w:rPr>
        <w:t>目    录</w:t>
      </w:r>
      <w:bookmarkEnd w:id="663"/>
      <w:bookmarkEnd w:id="664"/>
      <w:bookmarkEnd w:id="665"/>
      <w:bookmarkEnd w:id="666"/>
      <w:bookmarkEnd w:id="667"/>
    </w:p>
    <w:p>
      <w:pPr>
        <w:spacing w:line="540" w:lineRule="exact"/>
        <w:rPr>
          <w:rFonts w:hint="eastAsia"/>
          <w:i w:val="0"/>
          <w:iCs w:val="0"/>
          <w:highlight w:val="none"/>
        </w:rPr>
      </w:pPr>
    </w:p>
    <w:p>
      <w:pPr>
        <w:spacing w:line="5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一、投标函及投标函附录</w:t>
      </w:r>
    </w:p>
    <w:p>
      <w:pPr>
        <w:spacing w:line="540" w:lineRule="exact"/>
        <w:rPr>
          <w:rFonts w:hint="eastAsia" w:ascii="仿宋_GB2312" w:hAnsi="仿宋_GB2312" w:eastAsia="仿宋_GB2312" w:cs="仿宋_GB2312"/>
          <w:i w:val="0"/>
          <w:iCs w:val="0"/>
          <w:szCs w:val="22"/>
          <w:highlight w:val="none"/>
        </w:rPr>
      </w:pPr>
      <w:r>
        <w:rPr>
          <w:rFonts w:hint="eastAsia" w:ascii="仿宋_GB2312" w:hAnsi="仿宋_GB2312" w:eastAsia="仿宋_GB2312" w:cs="仿宋_GB2312"/>
          <w:i w:val="0"/>
          <w:iCs w:val="0"/>
          <w:szCs w:val="22"/>
          <w:highlight w:val="none"/>
        </w:rPr>
        <w:t>二、法定代表人身份证明（适用于无委托代理人的情况）</w:t>
      </w:r>
    </w:p>
    <w:p>
      <w:pPr>
        <w:spacing w:line="540" w:lineRule="exact"/>
        <w:rPr>
          <w:rFonts w:hint="eastAsia" w:ascii="仿宋_GB2312" w:hAnsi="仿宋_GB2312" w:eastAsia="仿宋_GB2312" w:cs="仿宋_GB2312"/>
          <w:i w:val="0"/>
          <w:iCs w:val="0"/>
          <w:szCs w:val="22"/>
          <w:highlight w:val="none"/>
        </w:rPr>
      </w:pPr>
      <w:r>
        <w:rPr>
          <w:rFonts w:hint="eastAsia" w:ascii="仿宋_GB2312" w:hAnsi="仿宋_GB2312" w:eastAsia="仿宋_GB2312" w:cs="仿宋_GB2312"/>
          <w:i w:val="0"/>
          <w:iCs w:val="0"/>
          <w:szCs w:val="22"/>
          <w:highlight w:val="none"/>
        </w:rPr>
        <w:t>二、授权委托书（适用于有委托代理人的情况）</w:t>
      </w:r>
    </w:p>
    <w:p>
      <w:pPr>
        <w:spacing w:line="5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三、联合体协议书</w:t>
      </w:r>
    </w:p>
    <w:p>
      <w:pPr>
        <w:spacing w:line="5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四、投标保证金 </w:t>
      </w:r>
    </w:p>
    <w:p>
      <w:pPr>
        <w:spacing w:line="5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五、价格清单</w:t>
      </w:r>
    </w:p>
    <w:p>
      <w:pPr>
        <w:spacing w:line="5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六、资格审查资料</w:t>
      </w:r>
    </w:p>
    <w:p>
      <w:pPr>
        <w:spacing w:line="5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七、承诺书</w:t>
      </w:r>
    </w:p>
    <w:p>
      <w:pPr>
        <w:spacing w:line="5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八、其他资料</w:t>
      </w:r>
    </w:p>
    <w:p>
      <w:pPr>
        <w:spacing w:line="540" w:lineRule="exac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 xml:space="preserve"> </w:t>
      </w:r>
    </w:p>
    <w:p>
      <w:pPr>
        <w:pStyle w:val="3"/>
        <w:jc w:val="center"/>
        <w:rPr>
          <w:i w:val="0"/>
          <w:iCs w:val="0"/>
          <w:highlight w:val="none"/>
        </w:rPr>
      </w:pPr>
      <w:r>
        <w:rPr>
          <w:i w:val="0"/>
          <w:iCs w:val="0"/>
          <w:highlight w:val="none"/>
        </w:rPr>
        <w:br w:type="page"/>
      </w:r>
      <w:bookmarkStart w:id="668" w:name="_Toc152045788"/>
      <w:bookmarkStart w:id="669" w:name="_Toc144974857"/>
      <w:bookmarkStart w:id="670" w:name="_Toc247527828"/>
      <w:bookmarkStart w:id="671" w:name="_Toc247514247"/>
      <w:bookmarkStart w:id="672" w:name="_Toc152042577"/>
      <w:bookmarkStart w:id="673" w:name="_Toc26137"/>
      <w:r>
        <w:rPr>
          <w:b w:val="0"/>
          <w:bCs w:val="0"/>
          <w:i w:val="0"/>
          <w:iCs w:val="0"/>
          <w:highlight w:val="none"/>
        </w:rPr>
        <w:t>一、投标函及投标函附录</w:t>
      </w:r>
      <w:bookmarkEnd w:id="668"/>
      <w:bookmarkEnd w:id="669"/>
      <w:bookmarkEnd w:id="670"/>
      <w:bookmarkEnd w:id="671"/>
      <w:bookmarkEnd w:id="672"/>
      <w:bookmarkEnd w:id="673"/>
    </w:p>
    <w:p>
      <w:pPr>
        <w:pStyle w:val="4"/>
        <w:ind w:firstLine="137" w:firstLineChars="0"/>
        <w:jc w:val="center"/>
        <w:rPr>
          <w:i w:val="0"/>
          <w:iCs w:val="0"/>
          <w:highlight w:val="none"/>
        </w:rPr>
      </w:pPr>
      <w:bookmarkStart w:id="674" w:name="_Toc247514248"/>
      <w:bookmarkStart w:id="675" w:name="_Toc144974858"/>
      <w:bookmarkStart w:id="676" w:name="_Toc152042578"/>
      <w:bookmarkStart w:id="677" w:name="_Toc247527829"/>
      <w:bookmarkStart w:id="678" w:name="_Toc152045789"/>
      <w:r>
        <w:rPr>
          <w:i w:val="0"/>
          <w:iCs w:val="0"/>
          <w:highlight w:val="none"/>
        </w:rPr>
        <w:t>（一）投标函</w:t>
      </w:r>
      <w:bookmarkEnd w:id="674"/>
      <w:bookmarkEnd w:id="675"/>
      <w:bookmarkEnd w:id="676"/>
      <w:bookmarkEnd w:id="677"/>
      <w:bookmarkEnd w:id="678"/>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（招标人名称）：</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1．我方已仔细研究了</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（项目名称）</w:t>
      </w:r>
      <w:r>
        <w:rPr>
          <w:rFonts w:hint="eastAsia" w:ascii="仿宋_GB2312" w:eastAsia="仿宋_GB2312"/>
          <w:i w:val="0"/>
          <w:iCs w:val="0"/>
          <w:szCs w:val="21"/>
          <w:highlight w:val="none"/>
          <w:u w:val="single"/>
        </w:rPr>
        <w:t xml:space="preserve">            </w:t>
      </w:r>
      <w:r>
        <w:rPr>
          <w:rFonts w:hint="eastAsia" w:ascii="仿宋_GB2312" w:eastAsia="仿宋_GB2312"/>
          <w:i w:val="0"/>
          <w:iCs w:val="0"/>
          <w:szCs w:val="21"/>
          <w:highlight w:val="none"/>
        </w:rPr>
        <w:t>（</w:t>
      </w:r>
      <w:r>
        <w:rPr>
          <w:rFonts w:hint="eastAsia" w:ascii="仿宋_GB2312" w:eastAsia="仿宋_GB2312"/>
          <w:i w:val="0"/>
          <w:iCs w:val="0"/>
          <w:szCs w:val="21"/>
          <w:highlight w:val="none"/>
          <w:lang w:val="en-US" w:eastAsia="zh-CN"/>
        </w:rPr>
        <w:t>标段</w:t>
      </w:r>
      <w:r>
        <w:rPr>
          <w:rFonts w:hint="eastAsia" w:ascii="仿宋_GB2312" w:eastAsia="仿宋_GB2312"/>
          <w:i w:val="0"/>
          <w:iCs w:val="0"/>
          <w:szCs w:val="21"/>
          <w:highlight w:val="none"/>
        </w:rPr>
        <w:t>名称）</w:t>
      </w:r>
      <w:r>
        <w:rPr>
          <w:rFonts w:hint="eastAsia" w:ascii="仿宋_GB2312" w:hAnsi="仿宋_GB2312" w:eastAsia="仿宋_GB2312" w:cs="仿宋_GB2312"/>
          <w:i w:val="0"/>
          <w:iCs w:val="0"/>
          <w:szCs w:val="21"/>
          <w:highlight w:val="none"/>
        </w:rPr>
        <w:t>招标文件的全部内容，愿意以人民币（大写）</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）的投标总报价，工期</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日历天，按合同约定对本项目进行项目管理总承包。</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2．我方承诺在招标文件规定的投标有效期内不修改、撤销投标文件。</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3．随同本投标函提交投标保证金一份。</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4．如我方中标：</w:t>
      </w:r>
    </w:p>
    <w:p>
      <w:pPr>
        <w:spacing w:line="440" w:lineRule="exact"/>
        <w:ind w:firstLine="718" w:firstLineChars="342"/>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（1）我方承诺在收到中标通知书后，在中标通知书规定的期限内与你方签订合同。</w:t>
      </w:r>
    </w:p>
    <w:p>
      <w:pPr>
        <w:spacing w:line="440" w:lineRule="exact"/>
        <w:ind w:firstLine="718" w:firstLineChars="342"/>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（2）随同本投标函递交的投标函附录属于合同文件的组成部分。</w:t>
      </w:r>
    </w:p>
    <w:p>
      <w:pPr>
        <w:spacing w:line="440" w:lineRule="exact"/>
        <w:ind w:firstLine="718" w:firstLineChars="342"/>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（3）我方承诺按照招标文件规定向你方递交履约担保。</w:t>
      </w:r>
    </w:p>
    <w:p>
      <w:pPr>
        <w:spacing w:line="440" w:lineRule="exact"/>
        <w:ind w:firstLine="718" w:firstLineChars="342"/>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（4）我方承诺在合同约定的期限内完成并移交全部合同工程。</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w:t>
      </w:r>
      <w:r>
        <w:rPr>
          <w:rFonts w:hint="eastAsia" w:ascii="仿宋_GB2312" w:hAnsi="仿宋_GB2312" w:eastAsia="仿宋_GB2312" w:cs="仿宋_GB2312"/>
          <w:i w:val="0"/>
          <w:iCs w:val="0"/>
          <w:highlight w:val="none"/>
        </w:rPr>
        <w:t>我方在此声明，所递交的投标文件及有关资料内容完整、真实和准确，且不存在第二章“投标人须知”第1.4.3项和第1.4.4项规定的任何一种情形。</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（其他补充说明）。</w:t>
      </w:r>
    </w:p>
    <w:p>
      <w:pPr>
        <w:spacing w:line="440" w:lineRule="exact"/>
        <w:ind w:firstLine="3675" w:firstLineChars="17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 标 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spacing w:line="440" w:lineRule="exact"/>
        <w:ind w:firstLine="3675" w:firstLineChars="17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spacing w:line="440" w:lineRule="exact"/>
        <w:ind w:firstLine="3675" w:firstLineChars="17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地址：</w:t>
      </w:r>
      <w:r>
        <w:rPr>
          <w:rFonts w:hint="eastAsia" w:ascii="仿宋_GB2312" w:hAnsi="仿宋_GB2312" w:eastAsia="仿宋_GB2312" w:cs="仿宋_GB2312"/>
          <w:i w:val="0"/>
          <w:iCs w:val="0"/>
          <w:szCs w:val="21"/>
          <w:highlight w:val="none"/>
          <w:u w:val="single"/>
        </w:rPr>
        <w:t xml:space="preserve">                                     </w:t>
      </w:r>
    </w:p>
    <w:p>
      <w:pPr>
        <w:spacing w:line="440" w:lineRule="exact"/>
        <w:ind w:firstLine="3675" w:firstLineChars="17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网址：</w:t>
      </w:r>
      <w:r>
        <w:rPr>
          <w:rFonts w:hint="eastAsia" w:ascii="仿宋_GB2312" w:hAnsi="仿宋_GB2312" w:eastAsia="仿宋_GB2312" w:cs="仿宋_GB2312"/>
          <w:i w:val="0"/>
          <w:iCs w:val="0"/>
          <w:szCs w:val="21"/>
          <w:highlight w:val="none"/>
          <w:u w:val="single"/>
        </w:rPr>
        <w:t xml:space="preserve">                                     </w:t>
      </w:r>
    </w:p>
    <w:p>
      <w:pPr>
        <w:spacing w:line="440" w:lineRule="exact"/>
        <w:ind w:firstLine="3675" w:firstLineChars="17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电话：</w:t>
      </w:r>
      <w:r>
        <w:rPr>
          <w:rFonts w:hint="eastAsia" w:ascii="仿宋_GB2312" w:hAnsi="仿宋_GB2312" w:eastAsia="仿宋_GB2312" w:cs="仿宋_GB2312"/>
          <w:i w:val="0"/>
          <w:iCs w:val="0"/>
          <w:szCs w:val="21"/>
          <w:highlight w:val="none"/>
          <w:u w:val="single"/>
        </w:rPr>
        <w:t xml:space="preserve">                                     </w:t>
      </w:r>
    </w:p>
    <w:p>
      <w:pPr>
        <w:spacing w:line="440" w:lineRule="exact"/>
        <w:ind w:firstLine="3675" w:firstLineChars="17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传真：</w:t>
      </w:r>
      <w:r>
        <w:rPr>
          <w:rFonts w:hint="eastAsia" w:ascii="仿宋_GB2312" w:hAnsi="仿宋_GB2312" w:eastAsia="仿宋_GB2312" w:cs="仿宋_GB2312"/>
          <w:i w:val="0"/>
          <w:iCs w:val="0"/>
          <w:szCs w:val="21"/>
          <w:highlight w:val="none"/>
          <w:u w:val="single"/>
        </w:rPr>
        <w:t xml:space="preserve">                                     </w:t>
      </w:r>
    </w:p>
    <w:p>
      <w:pPr>
        <w:spacing w:line="440" w:lineRule="exact"/>
        <w:ind w:firstLine="3675" w:firstLineChars="17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邮政编码：</w:t>
      </w:r>
      <w:r>
        <w:rPr>
          <w:rFonts w:hint="eastAsia" w:ascii="仿宋_GB2312" w:hAnsi="仿宋_GB2312" w:eastAsia="仿宋_GB2312" w:cs="仿宋_GB2312"/>
          <w:i w:val="0"/>
          <w:iCs w:val="0"/>
          <w:szCs w:val="21"/>
          <w:highlight w:val="none"/>
          <w:u w:val="single"/>
        </w:rPr>
        <w:t xml:space="preserve">                                 </w:t>
      </w:r>
    </w:p>
    <w:p>
      <w:pPr>
        <w:spacing w:line="440" w:lineRule="exact"/>
        <w:ind w:firstLine="4725" w:firstLineChars="225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pStyle w:val="4"/>
        <w:ind w:firstLine="137"/>
        <w:jc w:val="center"/>
        <w:rPr>
          <w:i w:val="0"/>
          <w:iCs w:val="0"/>
          <w:highlight w:val="none"/>
        </w:rPr>
      </w:pPr>
      <w:bookmarkStart w:id="679" w:name="_Toc152042579"/>
      <w:bookmarkStart w:id="680" w:name="_Toc144974859"/>
      <w:bookmarkStart w:id="681" w:name="_Toc247514249"/>
      <w:bookmarkStart w:id="682" w:name="_Toc152045790"/>
      <w:bookmarkStart w:id="683" w:name="_Toc247527830"/>
      <w:r>
        <w:rPr>
          <w:i w:val="0"/>
          <w:iCs w:val="0"/>
          <w:highlight w:val="none"/>
        </w:rPr>
        <w:br w:type="page"/>
      </w:r>
      <w:r>
        <w:rPr>
          <w:i w:val="0"/>
          <w:iCs w:val="0"/>
          <w:highlight w:val="none"/>
        </w:rPr>
        <w:t>（二）投标函附录</w:t>
      </w:r>
      <w:bookmarkEnd w:id="679"/>
      <w:bookmarkEnd w:id="680"/>
      <w:bookmarkEnd w:id="681"/>
      <w:bookmarkEnd w:id="682"/>
      <w:bookmarkEnd w:id="683"/>
    </w:p>
    <w:tbl>
      <w:tblPr>
        <w:tblStyle w:val="41"/>
        <w:tblW w:w="45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2056"/>
        <w:gridCol w:w="1891"/>
        <w:gridCol w:w="2401"/>
        <w:gridCol w:w="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序号</w:t>
            </w:r>
          </w:p>
        </w:tc>
        <w:tc>
          <w:tcPr>
            <w:tcW w:w="2161"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条款名称</w:t>
            </w:r>
          </w:p>
        </w:tc>
        <w:tc>
          <w:tcPr>
            <w:tcW w:w="198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合同条款号</w:t>
            </w:r>
          </w:p>
        </w:tc>
        <w:tc>
          <w:tcPr>
            <w:tcW w:w="252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约定内容</w:t>
            </w:r>
          </w:p>
        </w:tc>
        <w:tc>
          <w:tcPr>
            <w:tcW w:w="744"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w:t>
            </w:r>
          </w:p>
        </w:tc>
        <w:tc>
          <w:tcPr>
            <w:tcW w:w="2161" w:type="dxa"/>
            <w:noWrap w:val="0"/>
            <w:vAlign w:val="center"/>
          </w:tcPr>
          <w:p>
            <w:pPr>
              <w:spacing w:line="440" w:lineRule="exact"/>
              <w:ind w:firstLine="615" w:firstLineChars="342"/>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项目经理</w:t>
            </w:r>
          </w:p>
        </w:tc>
        <w:tc>
          <w:tcPr>
            <w:tcW w:w="198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1.1.2.4</w:t>
            </w:r>
          </w:p>
        </w:tc>
        <w:tc>
          <w:tcPr>
            <w:tcW w:w="2526" w:type="dxa"/>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 xml:space="preserve">姓名：           </w:t>
            </w:r>
          </w:p>
        </w:tc>
        <w:tc>
          <w:tcPr>
            <w:tcW w:w="744"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2</w:t>
            </w:r>
          </w:p>
        </w:tc>
        <w:tc>
          <w:tcPr>
            <w:tcW w:w="2161"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工期</w:t>
            </w:r>
          </w:p>
        </w:tc>
        <w:tc>
          <w:tcPr>
            <w:tcW w:w="198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1.1.4.3</w:t>
            </w:r>
          </w:p>
        </w:tc>
        <w:tc>
          <w:tcPr>
            <w:tcW w:w="2526" w:type="dxa"/>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天数：        日历天</w:t>
            </w:r>
          </w:p>
        </w:tc>
        <w:tc>
          <w:tcPr>
            <w:tcW w:w="744" w:type="dxa"/>
            <w:noWrap w:val="0"/>
            <w:vAlign w:val="center"/>
          </w:tcPr>
          <w:p>
            <w:pPr>
              <w:spacing w:line="440" w:lineRule="exact"/>
              <w:ind w:firstLine="615" w:firstLineChars="342"/>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54"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3</w:t>
            </w:r>
          </w:p>
        </w:tc>
        <w:tc>
          <w:tcPr>
            <w:tcW w:w="2161"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缺陷责任期</w:t>
            </w:r>
          </w:p>
        </w:tc>
        <w:tc>
          <w:tcPr>
            <w:tcW w:w="198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1.1.4.5</w:t>
            </w:r>
          </w:p>
        </w:tc>
        <w:tc>
          <w:tcPr>
            <w:tcW w:w="252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744"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pPr>
              <w:jc w:val="center"/>
              <w:rPr>
                <w:rFonts w:hint="eastAsia" w:ascii="仿宋_GB2312" w:hAnsi="仿宋_GB2312" w:eastAsia="仿宋_GB2312" w:cs="仿宋_GB2312"/>
                <w:i w:val="0"/>
                <w:iCs w:val="0"/>
                <w:sz w:val="18"/>
                <w:szCs w:val="18"/>
                <w:highlight w:val="none"/>
              </w:rPr>
            </w:pPr>
          </w:p>
        </w:tc>
        <w:tc>
          <w:tcPr>
            <w:tcW w:w="2161" w:type="dxa"/>
            <w:noWrap w:val="0"/>
            <w:vAlign w:val="center"/>
          </w:tcPr>
          <w:p>
            <w:pPr>
              <w:jc w:val="center"/>
              <w:rPr>
                <w:rFonts w:hint="eastAsia" w:ascii="仿宋_GB2312" w:hAnsi="仿宋_GB2312" w:eastAsia="仿宋_GB2312" w:cs="仿宋_GB2312"/>
                <w:i w:val="0"/>
                <w:iCs w:val="0"/>
                <w:sz w:val="18"/>
                <w:szCs w:val="18"/>
                <w:highlight w:val="none"/>
              </w:rPr>
            </w:pPr>
          </w:p>
        </w:tc>
        <w:tc>
          <w:tcPr>
            <w:tcW w:w="1986" w:type="dxa"/>
            <w:noWrap w:val="0"/>
            <w:vAlign w:val="center"/>
          </w:tcPr>
          <w:p>
            <w:pPr>
              <w:jc w:val="center"/>
              <w:rPr>
                <w:rFonts w:hint="eastAsia" w:ascii="仿宋_GB2312" w:hAnsi="仿宋_GB2312" w:eastAsia="仿宋_GB2312" w:cs="仿宋_GB2312"/>
                <w:i w:val="0"/>
                <w:iCs w:val="0"/>
                <w:sz w:val="18"/>
                <w:szCs w:val="18"/>
                <w:highlight w:val="none"/>
              </w:rPr>
            </w:pPr>
          </w:p>
        </w:tc>
        <w:tc>
          <w:tcPr>
            <w:tcW w:w="252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744"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center"/>
          </w:tcPr>
          <w:p>
            <w:pPr>
              <w:jc w:val="center"/>
              <w:rPr>
                <w:rFonts w:hint="eastAsia" w:ascii="仿宋_GB2312" w:hAnsi="仿宋_GB2312" w:eastAsia="仿宋_GB2312" w:cs="仿宋_GB2312"/>
                <w:i w:val="0"/>
                <w:iCs w:val="0"/>
                <w:sz w:val="18"/>
                <w:szCs w:val="18"/>
                <w:highlight w:val="none"/>
              </w:rPr>
            </w:pPr>
          </w:p>
        </w:tc>
        <w:tc>
          <w:tcPr>
            <w:tcW w:w="2161" w:type="dxa"/>
            <w:noWrap w:val="0"/>
            <w:vAlign w:val="center"/>
          </w:tcPr>
          <w:p>
            <w:pPr>
              <w:jc w:val="center"/>
              <w:rPr>
                <w:rFonts w:hint="eastAsia" w:ascii="仿宋_GB2312" w:hAnsi="仿宋_GB2312" w:eastAsia="仿宋_GB2312" w:cs="仿宋_GB2312"/>
                <w:i w:val="0"/>
                <w:iCs w:val="0"/>
                <w:sz w:val="18"/>
                <w:szCs w:val="18"/>
                <w:highlight w:val="none"/>
              </w:rPr>
            </w:pPr>
          </w:p>
        </w:tc>
        <w:tc>
          <w:tcPr>
            <w:tcW w:w="1986" w:type="dxa"/>
            <w:noWrap w:val="0"/>
            <w:vAlign w:val="center"/>
          </w:tcPr>
          <w:p>
            <w:pPr>
              <w:jc w:val="center"/>
              <w:rPr>
                <w:rFonts w:hint="eastAsia" w:ascii="仿宋_GB2312" w:hAnsi="仿宋_GB2312" w:eastAsia="仿宋_GB2312" w:cs="仿宋_GB2312"/>
                <w:i w:val="0"/>
                <w:iCs w:val="0"/>
                <w:sz w:val="18"/>
                <w:szCs w:val="18"/>
                <w:highlight w:val="none"/>
              </w:rPr>
            </w:pPr>
          </w:p>
        </w:tc>
        <w:tc>
          <w:tcPr>
            <w:tcW w:w="252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744" w:type="dxa"/>
            <w:noWrap w:val="0"/>
            <w:vAlign w:val="center"/>
          </w:tcPr>
          <w:p>
            <w:pPr>
              <w:spacing w:line="440" w:lineRule="exact"/>
              <w:ind w:firstLine="615" w:firstLineChars="342"/>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noWrap w:val="0"/>
            <w:vAlign w:val="top"/>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161" w:type="dxa"/>
            <w:noWrap w:val="0"/>
            <w:vAlign w:val="top"/>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198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52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744"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54" w:type="dxa"/>
            <w:noWrap w:val="0"/>
            <w:vAlign w:val="top"/>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161" w:type="dxa"/>
            <w:noWrap w:val="0"/>
            <w:vAlign w:val="top"/>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1986" w:type="dxa"/>
            <w:noWrap w:val="0"/>
            <w:vAlign w:val="center"/>
          </w:tcPr>
          <w:p>
            <w:pPr>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252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w:t>
            </w:r>
          </w:p>
        </w:tc>
        <w:tc>
          <w:tcPr>
            <w:tcW w:w="744"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r>
    </w:tbl>
    <w:p>
      <w:pPr>
        <w:spacing w:line="440" w:lineRule="exact"/>
        <w:ind w:left="840" w:leftChars="400" w:firstLine="2200" w:firstLineChars="1100"/>
        <w:rPr>
          <w:rFonts w:hint="eastAsia" w:eastAsia="黑体"/>
          <w:i w:val="0"/>
          <w:iCs w:val="0"/>
          <w:sz w:val="20"/>
          <w:szCs w:val="20"/>
          <w:highlight w:val="none"/>
        </w:rPr>
      </w:pPr>
    </w:p>
    <w:p>
      <w:pPr>
        <w:jc w:val="center"/>
        <w:rPr>
          <w:i w:val="0"/>
          <w:iCs w:val="0"/>
          <w:szCs w:val="21"/>
          <w:highlight w:val="none"/>
        </w:rPr>
      </w:pPr>
    </w:p>
    <w:p>
      <w:pPr>
        <w:spacing w:line="440" w:lineRule="exact"/>
        <w:rPr>
          <w:i w:val="0"/>
          <w:iCs w:val="0"/>
          <w:szCs w:val="21"/>
          <w:highlight w:val="none"/>
        </w:rPr>
      </w:pPr>
    </w:p>
    <w:p>
      <w:pPr>
        <w:pStyle w:val="3"/>
        <w:jc w:val="center"/>
        <w:rPr>
          <w:i w:val="0"/>
          <w:iCs w:val="0"/>
          <w:highlight w:val="none"/>
        </w:rPr>
      </w:pPr>
      <w:r>
        <w:rPr>
          <w:i w:val="0"/>
          <w:iCs w:val="0"/>
          <w:szCs w:val="21"/>
          <w:highlight w:val="none"/>
        </w:rPr>
        <w:br w:type="page"/>
      </w:r>
      <w:bookmarkStart w:id="684" w:name="_Toc152045791"/>
      <w:bookmarkStart w:id="685" w:name="_Toc152042580"/>
      <w:bookmarkStart w:id="686" w:name="_Toc247514283"/>
      <w:bookmarkStart w:id="687" w:name="_Toc144974860"/>
      <w:bookmarkStart w:id="688" w:name="_Toc247527831"/>
      <w:bookmarkStart w:id="689" w:name="_Toc32216"/>
      <w:r>
        <w:rPr>
          <w:b w:val="0"/>
          <w:bCs w:val="0"/>
          <w:i w:val="0"/>
          <w:iCs w:val="0"/>
          <w:highlight w:val="none"/>
        </w:rPr>
        <w:t>二、法定代表人身份证明</w:t>
      </w:r>
      <w:bookmarkEnd w:id="684"/>
      <w:bookmarkEnd w:id="685"/>
      <w:bookmarkEnd w:id="686"/>
      <w:bookmarkEnd w:id="687"/>
      <w:bookmarkEnd w:id="688"/>
      <w:bookmarkEnd w:id="689"/>
    </w:p>
    <w:p>
      <w:pPr>
        <w:spacing w:line="440" w:lineRule="exact"/>
        <w:rPr>
          <w:i w:val="0"/>
          <w:iCs w:val="0"/>
          <w:sz w:val="20"/>
          <w:szCs w:val="20"/>
          <w:highlight w:val="none"/>
        </w:rPr>
      </w:pPr>
    </w:p>
    <w:p>
      <w:pPr>
        <w:spacing w:line="440" w:lineRule="exact"/>
        <w:rPr>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单位性质：</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地址：</w:t>
      </w:r>
      <w:r>
        <w:rPr>
          <w:rFonts w:hint="eastAsia" w:ascii="仿宋_GB2312" w:hAnsi="仿宋_GB2312" w:eastAsia="仿宋_GB2312" w:cs="仿宋_GB2312"/>
          <w:i w:val="0"/>
          <w:iCs w:val="0"/>
          <w:szCs w:val="21"/>
          <w:highlight w:val="none"/>
          <w:u w:val="single"/>
        </w:rPr>
        <w:t xml:space="preserve">                                   </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成立时间：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日</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经营期限：</w:t>
      </w:r>
      <w:r>
        <w:rPr>
          <w:rFonts w:hint="eastAsia" w:ascii="仿宋_GB2312" w:hAnsi="仿宋_GB2312" w:eastAsia="仿宋_GB2312" w:cs="仿宋_GB2312"/>
          <w:i w:val="0"/>
          <w:iCs w:val="0"/>
          <w:szCs w:val="21"/>
          <w:highlight w:val="none"/>
          <w:u w:val="single"/>
        </w:rPr>
        <w:t xml:space="preserve">                               </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姓名：</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性别：</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年龄：</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职务：</w:t>
      </w:r>
      <w:r>
        <w:rPr>
          <w:rFonts w:hint="eastAsia" w:ascii="仿宋_GB2312" w:hAnsi="仿宋_GB2312" w:eastAsia="仿宋_GB2312" w:cs="仿宋_GB2312"/>
          <w:i w:val="0"/>
          <w:iCs w:val="0"/>
          <w:szCs w:val="21"/>
          <w:highlight w:val="none"/>
          <w:u w:val="single"/>
        </w:rPr>
        <w:t xml:space="preserve">        </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系</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（投标人名称）的法定代表人。</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特此证明。</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附：法定代表人身份证扫描件。</w:t>
      </w: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投标人：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年</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月</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日           </w:t>
      </w:r>
    </w:p>
    <w:p>
      <w:pPr>
        <w:pStyle w:val="3"/>
        <w:jc w:val="center"/>
        <w:rPr>
          <w:i w:val="0"/>
          <w:iCs w:val="0"/>
          <w:highlight w:val="none"/>
        </w:rPr>
      </w:pPr>
      <w:r>
        <w:rPr>
          <w:i w:val="0"/>
          <w:iCs w:val="0"/>
          <w:sz w:val="20"/>
          <w:szCs w:val="20"/>
          <w:highlight w:val="none"/>
        </w:rPr>
        <w:br w:type="page"/>
      </w:r>
      <w:bookmarkStart w:id="690" w:name="_Toc479262719"/>
      <w:bookmarkStart w:id="691" w:name="_Toc16133"/>
      <w:bookmarkStart w:id="692" w:name="_Toc524462527"/>
      <w:bookmarkStart w:id="693" w:name="_Toc256588114"/>
      <w:bookmarkStart w:id="694" w:name="_Toc10052"/>
      <w:bookmarkStart w:id="695" w:name="_Toc256516137"/>
      <w:r>
        <w:rPr>
          <w:rFonts w:hint="eastAsia"/>
          <w:b w:val="0"/>
          <w:bCs w:val="0"/>
          <w:i w:val="0"/>
          <w:iCs w:val="0"/>
          <w:highlight w:val="none"/>
        </w:rPr>
        <w:t>二. 授权委托书</w:t>
      </w:r>
      <w:bookmarkEnd w:id="690"/>
      <w:bookmarkEnd w:id="691"/>
      <w:bookmarkEnd w:id="692"/>
      <w:bookmarkEnd w:id="693"/>
      <w:bookmarkEnd w:id="694"/>
      <w:bookmarkEnd w:id="695"/>
    </w:p>
    <w:p>
      <w:pPr>
        <w:autoSpaceDE w:val="0"/>
        <w:autoSpaceDN w:val="0"/>
        <w:adjustRightInd w:val="0"/>
        <w:spacing w:line="520" w:lineRule="exact"/>
        <w:jc w:val="center"/>
        <w:rPr>
          <w:rFonts w:ascii="_x000B__x000C_" w:hAnsi="_x000B__x000C_"/>
          <w:i w:val="0"/>
          <w:iCs w:val="0"/>
          <w:kern w:val="0"/>
          <w:sz w:val="28"/>
          <w:szCs w:val="28"/>
          <w:highlight w:val="none"/>
        </w:rPr>
      </w:pPr>
    </w:p>
    <w:p>
      <w:pPr>
        <w:autoSpaceDE w:val="0"/>
        <w:autoSpaceDN w:val="0"/>
        <w:adjustRightInd w:val="0"/>
        <w:spacing w:line="42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本人</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（姓名） 系</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（投标人名称） 的法定代表人， 现委托</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（姓名）（身份证号码：</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）为我方代理人。代理人根据授权，以我方名义签署、澄清、说明、补正、递交、撤回、修改</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（项目名称）</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kern w:val="0"/>
          <w:szCs w:val="21"/>
          <w:highlight w:val="none"/>
          <w:lang w:val="en-US" w:eastAsia="zh-CN"/>
        </w:rPr>
        <w:t>标段</w:t>
      </w:r>
      <w:r>
        <w:rPr>
          <w:rFonts w:hint="eastAsia" w:ascii="仿宋_GB2312" w:hAnsi="_x000B__x000C_" w:eastAsia="仿宋_GB2312"/>
          <w:i w:val="0"/>
          <w:iCs w:val="0"/>
          <w:kern w:val="0"/>
          <w:szCs w:val="21"/>
          <w:highlight w:val="none"/>
        </w:rPr>
        <w:t>名称</w:t>
      </w:r>
      <w:r>
        <w:rPr>
          <w:rFonts w:hint="eastAsia" w:ascii="仿宋_GB2312" w:hAnsi="_x000B__x000C_" w:eastAsia="仿宋_GB2312" w:cs="Arial"/>
          <w:i w:val="0"/>
          <w:iCs w:val="0"/>
          <w:kern w:val="0"/>
          <w:szCs w:val="21"/>
          <w:highlight w:val="none"/>
        </w:rPr>
        <w:t>）</w:t>
      </w:r>
      <w:r>
        <w:rPr>
          <w:rFonts w:hint="eastAsia" w:ascii="仿宋_GB2312" w:hAnsi="仿宋_GB2312" w:eastAsia="仿宋_GB2312" w:cs="仿宋_GB2312"/>
          <w:i w:val="0"/>
          <w:iCs w:val="0"/>
          <w:kern w:val="0"/>
          <w:szCs w:val="21"/>
          <w:highlight w:val="none"/>
        </w:rPr>
        <w:t>投标文件、签订合同和处理有关事宜，其法律后果由我方承担。</w:t>
      </w:r>
    </w:p>
    <w:p>
      <w:pPr>
        <w:autoSpaceDE w:val="0"/>
        <w:autoSpaceDN w:val="0"/>
        <w:adjustRightInd w:val="0"/>
        <w:spacing w:line="420" w:lineRule="exact"/>
        <w:ind w:firstLine="424" w:firstLineChars="202"/>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委托期限：</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 xml:space="preserve"> 。</w:t>
      </w:r>
    </w:p>
    <w:p>
      <w:pPr>
        <w:autoSpaceDE w:val="0"/>
        <w:autoSpaceDN w:val="0"/>
        <w:adjustRightInd w:val="0"/>
        <w:spacing w:line="420" w:lineRule="exact"/>
        <w:ind w:firstLine="424" w:firstLineChars="202"/>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代理人无转委托权。</w:t>
      </w:r>
    </w:p>
    <w:p>
      <w:pPr>
        <w:autoSpaceDE w:val="0"/>
        <w:autoSpaceDN w:val="0"/>
        <w:adjustRightInd w:val="0"/>
        <w:spacing w:line="420" w:lineRule="exact"/>
        <w:ind w:firstLine="421"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b/>
          <w:bCs/>
          <w:i w:val="0"/>
          <w:iCs w:val="0"/>
          <w:kern w:val="0"/>
          <w:szCs w:val="21"/>
          <w:highlight w:val="none"/>
        </w:rPr>
        <w:t>附：法定代表人身份证扫描件、委托代理人身份证扫描件及委托代理人社保证明</w:t>
      </w:r>
      <w:r>
        <w:rPr>
          <w:rFonts w:hint="eastAsia" w:ascii="仿宋_GB2312" w:hAnsi="仿宋_GB2312" w:eastAsia="仿宋_GB2312" w:cs="仿宋_GB2312"/>
          <w:i w:val="0"/>
          <w:iCs w:val="0"/>
          <w:kern w:val="0"/>
          <w:szCs w:val="21"/>
          <w:highlight w:val="none"/>
        </w:rPr>
        <w:t>。</w:t>
      </w:r>
    </w:p>
    <w:p>
      <w:pPr>
        <w:snapToGrid w:val="0"/>
        <w:spacing w:line="360" w:lineRule="auto"/>
        <w:ind w:firstLine="2730" w:firstLineChars="1300"/>
        <w:rPr>
          <w:rFonts w:hint="eastAsia" w:ascii="仿宋_GB2312" w:hAnsi="仿宋_GB2312" w:eastAsia="仿宋_GB2312" w:cs="仿宋_GB2312"/>
          <w:i w:val="0"/>
          <w:iCs w:val="0"/>
          <w:szCs w:val="21"/>
          <w:highlight w:val="none"/>
        </w:rPr>
      </w:pPr>
    </w:p>
    <w:p>
      <w:pPr>
        <w:snapToGrid w:val="0"/>
        <w:spacing w:line="360" w:lineRule="auto"/>
        <w:ind w:firstLine="2730" w:firstLineChars="1300"/>
        <w:rPr>
          <w:rFonts w:hint="eastAsia" w:ascii="仿宋_GB2312" w:hAnsi="仿宋_GB2312" w:eastAsia="仿宋_GB2312" w:cs="仿宋_GB2312"/>
          <w:i w:val="0"/>
          <w:iCs w:val="0"/>
          <w:szCs w:val="21"/>
          <w:highlight w:val="none"/>
        </w:rPr>
      </w:pPr>
    </w:p>
    <w:p>
      <w:pPr>
        <w:snapToGrid w:val="0"/>
        <w:spacing w:line="360" w:lineRule="auto"/>
        <w:ind w:firstLine="2730" w:firstLineChars="1300"/>
        <w:rPr>
          <w:rFonts w:hint="eastAsia" w:ascii="仿宋_GB2312" w:hAnsi="仿宋_GB2312" w:eastAsia="仿宋_GB2312" w:cs="仿宋_GB2312"/>
          <w:i w:val="0"/>
          <w:iCs w:val="0"/>
          <w:szCs w:val="21"/>
          <w:highlight w:val="none"/>
        </w:rPr>
      </w:pPr>
    </w:p>
    <w:p>
      <w:pPr>
        <w:snapToGrid w:val="0"/>
        <w:spacing w:line="360" w:lineRule="auto"/>
        <w:ind w:firstLine="2730" w:firstLineChars="1300"/>
        <w:rPr>
          <w:rFonts w:hint="eastAsia" w:ascii="仿宋_GB2312" w:hAnsi="仿宋_GB2312" w:eastAsia="仿宋_GB2312" w:cs="仿宋_GB2312"/>
          <w:i w:val="0"/>
          <w:iCs w:val="0"/>
          <w:szCs w:val="21"/>
          <w:highlight w:val="none"/>
        </w:rPr>
      </w:pPr>
    </w:p>
    <w:p>
      <w:pPr>
        <w:snapToGrid w:val="0"/>
        <w:spacing w:line="360" w:lineRule="auto"/>
        <w:ind w:firstLine="2730" w:firstLineChars="1300"/>
        <w:rPr>
          <w:rFonts w:hint="eastAsia" w:ascii="仿宋_GB2312" w:hAnsi="仿宋_GB2312" w:eastAsia="仿宋_GB2312" w:cs="仿宋_GB2312"/>
          <w:i w:val="0"/>
          <w:iCs w:val="0"/>
          <w:szCs w:val="21"/>
          <w:highlight w:val="none"/>
        </w:rPr>
      </w:pPr>
    </w:p>
    <w:p>
      <w:pPr>
        <w:snapToGrid w:val="0"/>
        <w:spacing w:line="360" w:lineRule="auto"/>
        <w:ind w:firstLine="2730" w:firstLineChars="1300"/>
        <w:rPr>
          <w:rFonts w:hint="eastAsia" w:ascii="仿宋_GB2312" w:hAnsi="仿宋_GB2312" w:eastAsia="仿宋_GB2312" w:cs="仿宋_GB2312"/>
          <w:i w:val="0"/>
          <w:iCs w:val="0"/>
          <w:szCs w:val="21"/>
          <w:highlight w:val="none"/>
        </w:rPr>
      </w:pPr>
    </w:p>
    <w:p>
      <w:pPr>
        <w:snapToGrid w:val="0"/>
        <w:spacing w:line="360" w:lineRule="auto"/>
        <w:ind w:firstLine="2730" w:firstLineChars="1300"/>
        <w:rPr>
          <w:rFonts w:hint="eastAsia" w:ascii="仿宋_GB2312" w:hAnsi="仿宋_GB2312" w:eastAsia="仿宋_GB2312" w:cs="仿宋_GB2312"/>
          <w:i w:val="0"/>
          <w:iCs w:val="0"/>
          <w:szCs w:val="21"/>
          <w:highlight w:val="none"/>
        </w:rPr>
      </w:pPr>
    </w:p>
    <w:p>
      <w:pPr>
        <w:snapToGrid w:val="0"/>
        <w:spacing w:line="360" w:lineRule="auto"/>
        <w:ind w:firstLine="2730" w:firstLineChars="1300"/>
        <w:rPr>
          <w:rFonts w:hint="eastAsia" w:ascii="仿宋_GB2312" w:hAnsi="仿宋_GB2312" w:eastAsia="仿宋_GB2312" w:cs="仿宋_GB2312"/>
          <w:i w:val="0"/>
          <w:iCs w:val="0"/>
          <w:szCs w:val="21"/>
          <w:highlight w:val="none"/>
        </w:rPr>
      </w:pPr>
    </w:p>
    <w:p>
      <w:pPr>
        <w:snapToGrid w:val="0"/>
        <w:spacing w:line="360" w:lineRule="auto"/>
        <w:ind w:firstLine="2730" w:firstLineChars="13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投标人：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snapToGrid w:val="0"/>
        <w:spacing w:line="360" w:lineRule="auto"/>
        <w:ind w:firstLine="2730" w:firstLineChars="13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snapToGrid w:val="0"/>
        <w:spacing w:line="360" w:lineRule="auto"/>
        <w:ind w:firstLine="2730" w:firstLineChars="13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身份证号码：</w:t>
      </w:r>
      <w:r>
        <w:rPr>
          <w:rFonts w:hint="eastAsia" w:ascii="仿宋_GB2312" w:hAnsi="仿宋_GB2312" w:eastAsia="仿宋_GB2312" w:cs="仿宋_GB2312"/>
          <w:i w:val="0"/>
          <w:iCs w:val="0"/>
          <w:szCs w:val="21"/>
          <w:highlight w:val="none"/>
          <w:u w:val="single"/>
        </w:rPr>
        <w:t xml:space="preserve">                                     </w:t>
      </w:r>
    </w:p>
    <w:p>
      <w:pPr>
        <w:snapToGrid w:val="0"/>
        <w:spacing w:line="360" w:lineRule="auto"/>
        <w:ind w:firstLine="2730" w:firstLineChars="13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代理人联系电话（手机）：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autoSpaceDE w:val="0"/>
        <w:autoSpaceDN w:val="0"/>
        <w:adjustRightInd w:val="0"/>
        <w:spacing w:line="420" w:lineRule="exact"/>
        <w:ind w:firstLine="3780" w:firstLineChars="1800"/>
        <w:jc w:val="left"/>
        <w:rPr>
          <w:rFonts w:hint="eastAsia" w:ascii="仿宋_GB2312" w:hAnsi="仿宋_GB2312" w:eastAsia="仿宋_GB2312" w:cs="仿宋_GB2312"/>
          <w:i w:val="0"/>
          <w:iCs w:val="0"/>
          <w:kern w:val="0"/>
          <w:szCs w:val="21"/>
          <w:highlight w:val="none"/>
          <w:u w:val="single"/>
        </w:rPr>
      </w:pPr>
    </w:p>
    <w:p>
      <w:pPr>
        <w:autoSpaceDE w:val="0"/>
        <w:autoSpaceDN w:val="0"/>
        <w:adjustRightInd w:val="0"/>
        <w:spacing w:line="420" w:lineRule="exact"/>
        <w:ind w:firstLine="4935" w:firstLineChars="235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月</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日</w:t>
      </w:r>
    </w:p>
    <w:p>
      <w:pPr>
        <w:spacing w:line="440" w:lineRule="exact"/>
        <w:ind w:firstLine="1575" w:firstLineChars="750"/>
        <w:jc w:val="right"/>
        <w:rPr>
          <w:rFonts w:eastAsia="黑体"/>
          <w:i w:val="0"/>
          <w:iCs w:val="0"/>
          <w:szCs w:val="21"/>
          <w:highlight w:val="none"/>
        </w:rPr>
      </w:pPr>
    </w:p>
    <w:p>
      <w:pPr>
        <w:pStyle w:val="3"/>
        <w:jc w:val="center"/>
        <w:rPr>
          <w:i w:val="0"/>
          <w:iCs w:val="0"/>
          <w:highlight w:val="none"/>
        </w:rPr>
      </w:pPr>
      <w:r>
        <w:rPr>
          <w:i w:val="0"/>
          <w:iCs w:val="0"/>
          <w:sz w:val="20"/>
          <w:szCs w:val="20"/>
          <w:highlight w:val="none"/>
        </w:rPr>
        <w:br w:type="page"/>
      </w:r>
      <w:bookmarkStart w:id="696" w:name="_Toc14966"/>
      <w:bookmarkStart w:id="697" w:name="_Toc247527833"/>
      <w:bookmarkStart w:id="698" w:name="_Toc247514285"/>
      <w:bookmarkStart w:id="699" w:name="_Toc152045793"/>
      <w:bookmarkStart w:id="700" w:name="_Toc152042582"/>
      <w:r>
        <w:rPr>
          <w:rFonts w:hint="eastAsia"/>
          <w:b w:val="0"/>
          <w:bCs w:val="0"/>
          <w:i w:val="0"/>
          <w:iCs w:val="0"/>
          <w:highlight w:val="none"/>
        </w:rPr>
        <w:t>三、联合体协议书</w:t>
      </w:r>
      <w:bookmarkEnd w:id="696"/>
      <w:bookmarkEnd w:id="697"/>
      <w:bookmarkEnd w:id="698"/>
      <w:bookmarkEnd w:id="699"/>
      <w:bookmarkEnd w:id="700"/>
    </w:p>
    <w:p>
      <w:pPr>
        <w:spacing w:line="400" w:lineRule="exact"/>
        <w:rPr>
          <w:i w:val="0"/>
          <w:iCs w:val="0"/>
          <w:szCs w:val="21"/>
          <w:highlight w:val="none"/>
        </w:rPr>
      </w:pP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（所有成员单位名称）自愿组成</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（联合体名称）联合体，共同参加</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（项目名称）</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kern w:val="0"/>
          <w:szCs w:val="21"/>
          <w:highlight w:val="none"/>
          <w:lang w:val="en-US" w:eastAsia="zh-CN"/>
        </w:rPr>
        <w:t>标段</w:t>
      </w:r>
      <w:r>
        <w:rPr>
          <w:rFonts w:hint="eastAsia" w:ascii="仿宋_GB2312" w:hAnsi="_x000B__x000C_" w:eastAsia="仿宋_GB2312"/>
          <w:i w:val="0"/>
          <w:iCs w:val="0"/>
          <w:kern w:val="0"/>
          <w:szCs w:val="21"/>
          <w:highlight w:val="none"/>
        </w:rPr>
        <w:t>名称</w:t>
      </w:r>
      <w:r>
        <w:rPr>
          <w:rFonts w:hint="eastAsia" w:ascii="仿宋_GB2312" w:hAnsi="_x000B__x000C_" w:eastAsia="仿宋_GB2312" w:cs="Arial"/>
          <w:i w:val="0"/>
          <w:iCs w:val="0"/>
          <w:kern w:val="0"/>
          <w:szCs w:val="21"/>
          <w:highlight w:val="none"/>
        </w:rPr>
        <w:t>）</w:t>
      </w:r>
      <w:r>
        <w:rPr>
          <w:rFonts w:hint="eastAsia" w:ascii="仿宋_GB2312" w:hAnsi="仿宋_GB2312" w:eastAsia="仿宋_GB2312" w:cs="仿宋_GB2312"/>
          <w:i w:val="0"/>
          <w:iCs w:val="0"/>
          <w:szCs w:val="21"/>
          <w:highlight w:val="none"/>
        </w:rPr>
        <w:t>投标。现就联合体投标事宜订立如下协议。</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（某成员单位名称）为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（联合体名称）牵头人。</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3、联合体将严格按照招标文件的各项要求，递交投标文件，履行合同，并对外承担连带责任。</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4、联合体各成员单位内部的职责分工如下：</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 xml:space="preserve"> 。</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5、本协议书自签署之日起生效，合同履行完毕后自动失效。 </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6、本协议书一式</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份，联合体成员和招标人各执一份。</w:t>
      </w:r>
    </w:p>
    <w:p>
      <w:pPr>
        <w:topLinePunct/>
        <w:spacing w:line="440" w:lineRule="exact"/>
        <w:rPr>
          <w:rFonts w:hint="eastAsia" w:ascii="仿宋_GB2312" w:hAnsi="仿宋_GB2312" w:eastAsia="仿宋_GB2312" w:cs="仿宋_GB2312"/>
          <w:i w:val="0"/>
          <w:iCs w:val="0"/>
          <w:szCs w:val="21"/>
          <w:highlight w:val="none"/>
        </w:rPr>
      </w:pP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注：本协议书由委托代理人签字的，应附法定代表人签字的授权委托书。</w:t>
      </w:r>
    </w:p>
    <w:p>
      <w:pPr>
        <w:topLinePunct/>
        <w:spacing w:line="440" w:lineRule="exact"/>
        <w:rPr>
          <w:rFonts w:hint="eastAsia" w:ascii="仿宋_GB2312" w:hAnsi="仿宋_GB2312" w:eastAsia="仿宋_GB2312" w:cs="仿宋_GB2312"/>
          <w:i w:val="0"/>
          <w:iCs w:val="0"/>
          <w:szCs w:val="21"/>
          <w:highlight w:val="none"/>
        </w:rPr>
      </w:pP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牵头人名称：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法定代表人或其委托代理人：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topLinePunct/>
        <w:spacing w:line="440" w:lineRule="exact"/>
        <w:rPr>
          <w:rFonts w:hint="eastAsia" w:ascii="仿宋_GB2312" w:hAnsi="仿宋_GB2312" w:eastAsia="仿宋_GB2312" w:cs="仿宋_GB2312"/>
          <w:i w:val="0"/>
          <w:iCs w:val="0"/>
          <w:szCs w:val="21"/>
          <w:highlight w:val="none"/>
        </w:rPr>
      </w:pP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成员一名称：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法定代表人或其委托代理人：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topLinePunct/>
        <w:spacing w:line="44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成员二名称：</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（盖单位章）</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法定代表人或其委托代理人：</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（签字）</w:t>
      </w:r>
    </w:p>
    <w:p>
      <w:pPr>
        <w:topLinePunct/>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 </w:t>
      </w:r>
    </w:p>
    <w:p>
      <w:pPr>
        <w:topLinePunct/>
        <w:spacing w:line="440" w:lineRule="exact"/>
        <w:rPr>
          <w:rFonts w:hint="eastAsia" w:ascii="仿宋_GB2312" w:hAnsi="仿宋_GB2312" w:eastAsia="仿宋_GB2312" w:cs="仿宋_GB2312"/>
          <w:i w:val="0"/>
          <w:iCs w:val="0"/>
          <w:szCs w:val="21"/>
          <w:highlight w:val="none"/>
        </w:rPr>
      </w:pPr>
    </w:p>
    <w:p>
      <w:pPr>
        <w:ind w:firstLine="2879" w:firstLineChars="1371"/>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w:t>
      </w:r>
    </w:p>
    <w:p>
      <w:pPr>
        <w:pStyle w:val="3"/>
        <w:jc w:val="center"/>
        <w:rPr>
          <w:i w:val="0"/>
          <w:iCs w:val="0"/>
          <w:highlight w:val="none"/>
        </w:rPr>
      </w:pPr>
      <w:r>
        <w:rPr>
          <w:i w:val="0"/>
          <w:iCs w:val="0"/>
          <w:highlight w:val="none"/>
        </w:rPr>
        <w:br w:type="page"/>
      </w:r>
      <w:bookmarkStart w:id="701" w:name="_Toc247514286"/>
      <w:bookmarkStart w:id="702" w:name="_Toc28214"/>
      <w:bookmarkStart w:id="703" w:name="_Toc152045794"/>
      <w:bookmarkStart w:id="704" w:name="_Toc247527834"/>
      <w:bookmarkStart w:id="705" w:name="_Toc152042583"/>
      <w:bookmarkStart w:id="706" w:name="_Toc144974862"/>
      <w:r>
        <w:rPr>
          <w:rFonts w:hint="eastAsia"/>
          <w:b w:val="0"/>
          <w:bCs w:val="0"/>
          <w:i w:val="0"/>
          <w:iCs w:val="0"/>
          <w:highlight w:val="none"/>
        </w:rPr>
        <w:t>四</w:t>
      </w:r>
      <w:r>
        <w:rPr>
          <w:b w:val="0"/>
          <w:bCs w:val="0"/>
          <w:i w:val="0"/>
          <w:iCs w:val="0"/>
          <w:highlight w:val="none"/>
        </w:rPr>
        <w:t>、投标保证金</w:t>
      </w:r>
      <w:bookmarkEnd w:id="701"/>
      <w:bookmarkEnd w:id="702"/>
      <w:bookmarkEnd w:id="703"/>
      <w:bookmarkEnd w:id="704"/>
      <w:bookmarkEnd w:id="705"/>
      <w:bookmarkEnd w:id="706"/>
    </w:p>
    <w:p>
      <w:pPr>
        <w:spacing w:line="440" w:lineRule="exact"/>
        <w:rPr>
          <w:i w:val="0"/>
          <w:iCs w:val="0"/>
          <w:szCs w:val="21"/>
          <w:highlight w:val="none"/>
        </w:rPr>
      </w:pPr>
    </w:p>
    <w:p>
      <w:pPr>
        <w:spacing w:line="360" w:lineRule="auto"/>
        <w:ind w:firstLine="420" w:firstLineChars="200"/>
        <w:rPr>
          <w:rFonts w:hint="eastAsia" w:ascii="仿宋_GB2312" w:hAnsi="仿宋_GB2312" w:eastAsia="仿宋_GB2312" w:cs="仿宋_GB2312"/>
          <w:i w:val="0"/>
          <w:iCs w:val="0"/>
          <w:sz w:val="21"/>
          <w:szCs w:val="21"/>
          <w:highlight w:val="none"/>
        </w:rPr>
      </w:pPr>
      <w:bookmarkStart w:id="707" w:name="_Toc256695540"/>
      <w:bookmarkStart w:id="708" w:name="_Toc256691664"/>
      <w:r>
        <w:rPr>
          <w:rFonts w:hint="eastAsia" w:ascii="仿宋_GB2312" w:hAnsi="仿宋_GB2312" w:eastAsia="仿宋_GB2312" w:cs="仿宋_GB2312"/>
          <w:i w:val="0"/>
          <w:iCs w:val="0"/>
          <w:sz w:val="21"/>
          <w:szCs w:val="21"/>
          <w:highlight w:val="none"/>
        </w:rPr>
        <w:t>如采用电汇或转账，投标人应提供银行回单的扫描件、基本账户开户许可证扫描件（或基本存款账户信息）。</w:t>
      </w:r>
    </w:p>
    <w:bookmarkEnd w:id="707"/>
    <w:bookmarkEnd w:id="708"/>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如采用纸质保函，保函扫描件在此提供，格式如下。</w:t>
      </w:r>
      <w:r>
        <w:rPr>
          <w:rFonts w:hint="eastAsia" w:ascii="仿宋_GB2312" w:hAnsi="仿宋_GB2312" w:eastAsia="仿宋_GB2312" w:cs="仿宋_GB2312"/>
          <w:i w:val="0"/>
          <w:iCs w:val="0"/>
          <w:kern w:val="0"/>
          <w:sz w:val="21"/>
          <w:szCs w:val="21"/>
          <w:highlight w:val="none"/>
        </w:rPr>
        <w:t>保函原件应密封并于投标截止时间前</w:t>
      </w:r>
      <w:r>
        <w:rPr>
          <w:rFonts w:hint="eastAsia" w:ascii="仿宋_GB2312" w:hAnsi="仿宋_GB2312" w:eastAsia="仿宋_GB2312" w:cs="仿宋_GB2312"/>
          <w:bCs/>
          <w:i w:val="0"/>
          <w:iCs w:val="0"/>
          <w:snapToGrid w:val="0"/>
          <w:kern w:val="0"/>
          <w:sz w:val="21"/>
          <w:szCs w:val="21"/>
          <w:highlight w:val="none"/>
        </w:rPr>
        <w:t>在开标现场递交招标人</w:t>
      </w:r>
      <w:r>
        <w:rPr>
          <w:rFonts w:hint="eastAsia" w:ascii="仿宋_GB2312" w:hAnsi="仿宋_GB2312" w:eastAsia="仿宋_GB2312" w:cs="仿宋_GB2312"/>
          <w:i w:val="0"/>
          <w:iCs w:val="0"/>
          <w:sz w:val="21"/>
          <w:szCs w:val="21"/>
          <w:highlight w:val="none"/>
        </w:rPr>
        <w:t>。</w:t>
      </w:r>
    </w:p>
    <w:p>
      <w:pPr>
        <w:spacing w:line="360" w:lineRule="auto"/>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bCs/>
          <w:i w:val="0"/>
          <w:iCs w:val="0"/>
          <w:snapToGrid w:val="0"/>
          <w:kern w:val="0"/>
          <w:sz w:val="21"/>
          <w:szCs w:val="21"/>
          <w:highlight w:val="none"/>
        </w:rPr>
        <w:t>如采用电子保函，按电子保函服务平台及交易系统相关规定办理。</w:t>
      </w:r>
    </w:p>
    <w:p>
      <w:pPr>
        <w:autoSpaceDE w:val="0"/>
        <w:autoSpaceDN w:val="0"/>
        <w:adjustRightInd w:val="0"/>
        <w:ind w:firstLine="447" w:firstLineChars="213"/>
        <w:jc w:val="left"/>
        <w:rPr>
          <w:rFonts w:hint="eastAsia" w:ascii="仿宋_GB2312" w:hAnsi="仿宋_GB2312" w:eastAsia="仿宋_GB2312" w:cs="仿宋_GB2312"/>
          <w:i w:val="0"/>
          <w:iCs w:val="0"/>
          <w:kern w:val="0"/>
          <w:sz w:val="21"/>
          <w:szCs w:val="21"/>
          <w:highlight w:val="none"/>
        </w:rPr>
      </w:pPr>
    </w:p>
    <w:p>
      <w:pPr>
        <w:autoSpaceDE w:val="0"/>
        <w:autoSpaceDN w:val="0"/>
        <w:adjustRightInd w:val="0"/>
        <w:jc w:val="center"/>
        <w:rPr>
          <w:rFonts w:hint="eastAsia" w:ascii="仿宋_GB2312" w:hAnsi="仿宋_GB2312" w:eastAsia="仿宋_GB2312" w:cs="仿宋_GB2312"/>
          <w:b/>
          <w:i w:val="0"/>
          <w:iCs w:val="0"/>
          <w:kern w:val="0"/>
          <w:sz w:val="21"/>
          <w:szCs w:val="21"/>
          <w:highlight w:val="none"/>
        </w:rPr>
      </w:pPr>
    </w:p>
    <w:p>
      <w:pPr>
        <w:spacing w:line="440" w:lineRule="exact"/>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（招标人名称）：</w:t>
      </w:r>
    </w:p>
    <w:p>
      <w:pPr>
        <w:spacing w:line="440" w:lineRule="exact"/>
        <w:rPr>
          <w:rFonts w:hint="eastAsia" w:ascii="仿宋_GB2312" w:hAnsi="仿宋_GB2312" w:eastAsia="仿宋_GB2312" w:cs="仿宋_GB2312"/>
          <w:i w:val="0"/>
          <w:iCs w:val="0"/>
          <w:sz w:val="21"/>
          <w:szCs w:val="21"/>
          <w:highlight w:val="none"/>
        </w:rPr>
      </w:pPr>
    </w:p>
    <w:p>
      <w:pPr>
        <w:spacing w:line="440" w:lineRule="exact"/>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鉴于</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（投标人名称）（以下称“投标人”）于</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年</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月</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日参加</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（项目名称）</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kern w:val="0"/>
          <w:sz w:val="21"/>
          <w:szCs w:val="21"/>
          <w:highlight w:val="none"/>
        </w:rPr>
        <w:t>（标段名称）</w:t>
      </w:r>
      <w:r>
        <w:rPr>
          <w:rFonts w:hint="eastAsia" w:ascii="仿宋_GB2312" w:hAnsi="仿宋_GB2312" w:eastAsia="仿宋_GB2312" w:cs="仿宋_GB2312"/>
          <w:i w:val="0"/>
          <w:iCs w:val="0"/>
          <w:sz w:val="21"/>
          <w:szCs w:val="21"/>
          <w:highlight w:val="none"/>
        </w:rPr>
        <w:t>的投标，</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担保人名称，以下简称“我方”）无条件地、不可撤销地保证：若投标人在投标有效期内撤销投标文件，中标后无正当理由不与招标人订立合同，在签订合同时向招标人提出附加条件，不按照招标文件要求提交履约保证金，或者发生招标文件明确规定可以不予退还投标保证金的其他情形，我方承担保证责任。收到你方书面通知后，我方在7日内向你方无条件支付人民币（大写）</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w:t>
      </w:r>
    </w:p>
    <w:p>
      <w:pPr>
        <w:spacing w:line="440" w:lineRule="exact"/>
        <w:ind w:left="420" w:left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本保函在投标有效期内保持有效。要求我方承担保证责任的通知应在投标有效期内送达我方。</w:t>
      </w:r>
    </w:p>
    <w:p>
      <w:pPr>
        <w:spacing w:line="440" w:lineRule="exact"/>
        <w:rPr>
          <w:rFonts w:hint="eastAsia" w:ascii="仿宋_GB2312" w:hAnsi="仿宋_GB2312" w:eastAsia="仿宋_GB2312" w:cs="仿宋_GB2312"/>
          <w:i w:val="0"/>
          <w:iCs w:val="0"/>
          <w:sz w:val="21"/>
          <w:szCs w:val="21"/>
          <w:highlight w:val="none"/>
        </w:rPr>
      </w:pPr>
    </w:p>
    <w:p>
      <w:pPr>
        <w:spacing w:line="440" w:lineRule="exact"/>
        <w:ind w:firstLine="2158" w:firstLineChars="1028"/>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担保人名称：</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（盖单位章）</w:t>
      </w:r>
    </w:p>
    <w:p>
      <w:pPr>
        <w:spacing w:line="440" w:lineRule="exact"/>
        <w:ind w:firstLine="2158" w:firstLineChars="1028"/>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法定代表人或其委托代理人：</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（签字）</w:t>
      </w:r>
    </w:p>
    <w:p>
      <w:pPr>
        <w:spacing w:line="440" w:lineRule="exact"/>
        <w:ind w:firstLine="2158" w:firstLineChars="1028"/>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地    址：</w:t>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u w:val="single"/>
        </w:rPr>
        <w:tab/>
      </w:r>
    </w:p>
    <w:p>
      <w:pPr>
        <w:spacing w:line="440" w:lineRule="exact"/>
        <w:ind w:firstLine="2158" w:firstLineChars="1028"/>
        <w:rPr>
          <w:rFonts w:hint="eastAsia" w:ascii="仿宋_GB2312" w:hAnsi="仿宋_GB2312" w:eastAsia="仿宋_GB2312" w:cs="仿宋_GB2312"/>
          <w:i w:val="0"/>
          <w:iCs w:val="0"/>
          <w:sz w:val="21"/>
          <w:szCs w:val="21"/>
          <w:highlight w:val="none"/>
          <w:u w:val="single"/>
        </w:rPr>
      </w:pPr>
      <w:r>
        <w:rPr>
          <w:rFonts w:hint="eastAsia" w:ascii="仿宋_GB2312" w:hAnsi="仿宋_GB2312" w:eastAsia="仿宋_GB2312" w:cs="仿宋_GB2312"/>
          <w:i w:val="0"/>
          <w:iCs w:val="0"/>
          <w:sz w:val="21"/>
          <w:szCs w:val="21"/>
          <w:highlight w:val="none"/>
        </w:rPr>
        <w:t>邮政编码：</w:t>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ab/>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u w:val="single"/>
        </w:rPr>
        <w:tab/>
      </w:r>
    </w:p>
    <w:p>
      <w:pPr>
        <w:spacing w:line="440" w:lineRule="exact"/>
        <w:ind w:firstLine="2158" w:firstLineChars="1028"/>
        <w:rPr>
          <w:rFonts w:hint="eastAsia" w:ascii="仿宋_GB2312" w:hAnsi="仿宋_GB2312" w:eastAsia="仿宋_GB2312" w:cs="仿宋_GB2312"/>
          <w:i w:val="0"/>
          <w:iCs w:val="0"/>
          <w:sz w:val="21"/>
          <w:szCs w:val="21"/>
          <w:highlight w:val="none"/>
          <w:u w:val="single"/>
        </w:rPr>
      </w:pPr>
      <w:r>
        <w:rPr>
          <w:rFonts w:hint="eastAsia" w:ascii="仿宋_GB2312" w:hAnsi="仿宋_GB2312" w:eastAsia="仿宋_GB2312" w:cs="仿宋_GB2312"/>
          <w:i w:val="0"/>
          <w:iCs w:val="0"/>
          <w:sz w:val="21"/>
          <w:szCs w:val="21"/>
          <w:highlight w:val="none"/>
        </w:rPr>
        <w:t>电    话：</w:t>
      </w:r>
      <w:r>
        <w:rPr>
          <w:rFonts w:hint="eastAsia" w:ascii="仿宋_GB2312" w:hAnsi="仿宋_GB2312" w:eastAsia="仿宋_GB2312" w:cs="仿宋_GB2312"/>
          <w:i w:val="0"/>
          <w:iCs w:val="0"/>
          <w:sz w:val="21"/>
          <w:szCs w:val="21"/>
          <w:highlight w:val="none"/>
          <w:u w:val="single"/>
        </w:rPr>
        <w:t xml:space="preserve">                                          </w:t>
      </w:r>
    </w:p>
    <w:p>
      <w:pPr>
        <w:spacing w:line="440" w:lineRule="exact"/>
        <w:ind w:firstLine="2158" w:firstLineChars="1028"/>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传    真：</w:t>
      </w:r>
      <w:r>
        <w:rPr>
          <w:rFonts w:hint="eastAsia" w:ascii="仿宋_GB2312" w:hAnsi="仿宋_GB2312" w:eastAsia="仿宋_GB2312" w:cs="仿宋_GB2312"/>
          <w:i w:val="0"/>
          <w:iCs w:val="0"/>
          <w:sz w:val="21"/>
          <w:szCs w:val="21"/>
          <w:highlight w:val="none"/>
          <w:u w:val="single"/>
        </w:rPr>
        <w:t xml:space="preserve">                                          </w:t>
      </w:r>
    </w:p>
    <w:p>
      <w:pPr>
        <w:spacing w:line="440" w:lineRule="exact"/>
        <w:ind w:firstLine="2158" w:firstLineChars="1028"/>
        <w:rPr>
          <w:rFonts w:hint="eastAsia" w:ascii="仿宋_GB2312" w:hAnsi="仿宋_GB2312" w:eastAsia="仿宋_GB2312" w:cs="仿宋_GB2312"/>
          <w:i w:val="0"/>
          <w:iCs w:val="0"/>
          <w:sz w:val="21"/>
          <w:szCs w:val="21"/>
          <w:highlight w:val="none"/>
        </w:rPr>
      </w:pPr>
    </w:p>
    <w:p>
      <w:pPr>
        <w:spacing w:line="440" w:lineRule="exact"/>
        <w:ind w:firstLine="3523" w:firstLineChars="1678"/>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年</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月</w:t>
      </w:r>
      <w:r>
        <w:rPr>
          <w:rFonts w:hint="eastAsia" w:ascii="仿宋_GB2312" w:hAnsi="仿宋_GB2312" w:eastAsia="仿宋_GB2312" w:cs="仿宋_GB2312"/>
          <w:i w:val="0"/>
          <w:iCs w:val="0"/>
          <w:sz w:val="21"/>
          <w:szCs w:val="21"/>
          <w:highlight w:val="none"/>
          <w:u w:val="single"/>
        </w:rPr>
        <w:t xml:space="preserve">      </w:t>
      </w:r>
      <w:r>
        <w:rPr>
          <w:rFonts w:hint="eastAsia" w:ascii="仿宋_GB2312" w:hAnsi="仿宋_GB2312" w:eastAsia="仿宋_GB2312" w:cs="仿宋_GB2312"/>
          <w:i w:val="0"/>
          <w:iCs w:val="0"/>
          <w:sz w:val="21"/>
          <w:szCs w:val="21"/>
          <w:highlight w:val="none"/>
        </w:rPr>
        <w:t>日</w:t>
      </w:r>
    </w:p>
    <w:p>
      <w:pPr>
        <w:pStyle w:val="3"/>
        <w:jc w:val="center"/>
        <w:rPr>
          <w:rFonts w:hint="eastAsia"/>
          <w:i w:val="0"/>
          <w:iCs w:val="0"/>
          <w:highlight w:val="none"/>
        </w:rPr>
      </w:pPr>
      <w:r>
        <w:rPr>
          <w:rFonts w:hint="eastAsia" w:ascii="仿宋_GB2312" w:hAnsi="仿宋_GB2312" w:eastAsia="仿宋_GB2312" w:cs="仿宋_GB2312"/>
          <w:i w:val="0"/>
          <w:iCs w:val="0"/>
          <w:sz w:val="21"/>
          <w:szCs w:val="21"/>
          <w:highlight w:val="none"/>
        </w:rPr>
        <w:br w:type="page"/>
      </w:r>
      <w:bookmarkStart w:id="709" w:name="_Toc247527835"/>
      <w:bookmarkStart w:id="710" w:name="_Toc152042584"/>
      <w:bookmarkStart w:id="711" w:name="_Toc30689"/>
      <w:bookmarkStart w:id="712" w:name="_Toc144974863"/>
      <w:bookmarkStart w:id="713" w:name="_Toc152045795"/>
      <w:bookmarkStart w:id="714" w:name="_Toc247514287"/>
      <w:r>
        <w:rPr>
          <w:rFonts w:hint="eastAsia"/>
          <w:b w:val="0"/>
          <w:bCs w:val="0"/>
          <w:i w:val="0"/>
          <w:iCs w:val="0"/>
          <w:highlight w:val="none"/>
        </w:rPr>
        <w:t>五</w:t>
      </w:r>
      <w:r>
        <w:rPr>
          <w:b w:val="0"/>
          <w:bCs w:val="0"/>
          <w:i w:val="0"/>
          <w:iCs w:val="0"/>
          <w:highlight w:val="none"/>
        </w:rPr>
        <w:t>、</w:t>
      </w:r>
      <w:r>
        <w:rPr>
          <w:rFonts w:hint="eastAsia"/>
          <w:b w:val="0"/>
          <w:bCs w:val="0"/>
          <w:i w:val="0"/>
          <w:iCs w:val="0"/>
          <w:highlight w:val="none"/>
        </w:rPr>
        <w:t>价格清单</w:t>
      </w:r>
      <w:bookmarkEnd w:id="709"/>
      <w:bookmarkEnd w:id="710"/>
      <w:bookmarkEnd w:id="711"/>
      <w:bookmarkEnd w:id="712"/>
      <w:bookmarkEnd w:id="713"/>
      <w:bookmarkEnd w:id="714"/>
    </w:p>
    <w:p>
      <w:pPr>
        <w:pStyle w:val="4"/>
        <w:ind w:firstLine="137"/>
        <w:rPr>
          <w:i w:val="0"/>
          <w:iCs w:val="0"/>
          <w:highlight w:val="none"/>
        </w:rPr>
      </w:pPr>
      <w:r>
        <w:rPr>
          <w:rFonts w:hint="eastAsia"/>
          <w:i w:val="0"/>
          <w:iCs w:val="0"/>
          <w:highlight w:val="none"/>
        </w:rPr>
        <w:t>（一）价格清单说明</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 价格清单列出的任何数量，不视为要求承包人实施的工程的实际或准确的工作量。在价格清单中列出的任何工作量和价格数据应仅限用于合同约定的变更和支付的参考资料，而不能用于其他目的。</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 本价格清单应与招标文件中投标人须知、专用合同条款、通用合同条款、发包人要求等一起阅读和理解。</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1.6 建筑安装工程费的说明：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1.7 项目管理费的说明：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1.8 暂列金额的说明：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1.9 暂估价的说明：由招标人列明并应包含在投标报价汇总表中。</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1.10 其它费用的说明：</w:t>
      </w:r>
      <w:r>
        <w:rPr>
          <w:rFonts w:hint="eastAsia" w:ascii="仿宋_GB2312" w:hAnsi="仿宋_GB2312" w:eastAsia="仿宋_GB2312" w:cs="仿宋_GB2312"/>
          <w:i w:val="0"/>
          <w:iCs w:val="0"/>
          <w:szCs w:val="21"/>
          <w:highlight w:val="none"/>
          <w:u w:val="single"/>
        </w:rPr>
        <w:t xml:space="preserve">                               </w:t>
      </w:r>
      <w:r>
        <w:rPr>
          <w:rFonts w:hint="eastAsia" w:ascii="仿宋_GB2312" w:hAnsi="仿宋_GB2312" w:eastAsia="仿宋_GB2312" w:cs="仿宋_GB2312"/>
          <w:i w:val="0"/>
          <w:iCs w:val="0"/>
          <w:szCs w:val="21"/>
          <w:highlight w:val="none"/>
        </w:rPr>
        <w:t>。</w:t>
      </w:r>
    </w:p>
    <w:p>
      <w:pPr>
        <w:spacing w:line="440" w:lineRule="exact"/>
        <w:ind w:firstLine="420" w:firstLineChars="200"/>
        <w:rPr>
          <w:rFonts w:hint="eastAsia"/>
          <w:i w:val="0"/>
          <w:iCs w:val="0"/>
          <w:szCs w:val="21"/>
          <w:highlight w:val="none"/>
        </w:rPr>
      </w:pPr>
    </w:p>
    <w:p>
      <w:pPr>
        <w:pStyle w:val="4"/>
        <w:ind w:firstLine="137"/>
        <w:rPr>
          <w:rFonts w:hint="eastAsia"/>
          <w:i w:val="0"/>
          <w:iCs w:val="0"/>
          <w:szCs w:val="21"/>
          <w:highlight w:val="none"/>
        </w:rPr>
      </w:pPr>
      <w:r>
        <w:rPr>
          <w:i w:val="0"/>
          <w:iCs w:val="0"/>
          <w:highlight w:val="none"/>
        </w:rPr>
        <w:br w:type="page"/>
      </w:r>
      <w:r>
        <w:rPr>
          <w:rFonts w:hint="eastAsia"/>
          <w:i w:val="0"/>
          <w:iCs w:val="0"/>
          <w:highlight w:val="none"/>
        </w:rPr>
        <w:t>（二）价格清单</w:t>
      </w:r>
    </w:p>
    <w:p>
      <w:pPr>
        <w:spacing w:line="440" w:lineRule="exact"/>
        <w:rPr>
          <w:rFonts w:hint="eastAsia" w:ascii="仿宋_GB2312" w:hAnsi="仿宋_GB2312" w:eastAsia="仿宋_GB2312" w:cs="仿宋_GB2312"/>
          <w:i w:val="0"/>
          <w:iCs w:val="0"/>
          <w:sz w:val="28"/>
          <w:szCs w:val="28"/>
          <w:highlight w:val="none"/>
        </w:rPr>
      </w:pPr>
      <w:r>
        <w:rPr>
          <w:rFonts w:hint="eastAsia" w:ascii="仿宋_GB2312" w:hAnsi="仿宋_GB2312" w:eastAsia="仿宋_GB2312" w:cs="仿宋_GB2312"/>
          <w:i w:val="0"/>
          <w:iCs w:val="0"/>
          <w:sz w:val="28"/>
          <w:szCs w:val="28"/>
          <w:highlight w:val="none"/>
        </w:rPr>
        <w:t>2.1 建筑安装工程费清单</w:t>
      </w:r>
    </w:p>
    <w:p>
      <w:pPr>
        <w:spacing w:line="440" w:lineRule="exact"/>
        <w:rPr>
          <w:rFonts w:hint="eastAsia"/>
          <w:i w:val="0"/>
          <w:iCs w:val="0"/>
          <w:szCs w:val="21"/>
          <w:highlight w:val="none"/>
        </w:rPr>
      </w:pPr>
    </w:p>
    <w:p>
      <w:pPr>
        <w:widowControl/>
        <w:jc w:val="right"/>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i w:val="0"/>
          <w:iCs w:val="0"/>
          <w:kern w:val="0"/>
          <w:sz w:val="21"/>
          <w:szCs w:val="21"/>
          <w:highlight w:val="none"/>
        </w:rPr>
        <w:t>单位：人民币元</w:t>
      </w:r>
    </w:p>
    <w:tbl>
      <w:tblPr>
        <w:tblStyle w:val="41"/>
        <w:tblpPr w:leftFromText="180" w:rightFromText="180" w:vertAnchor="text" w:horzAnchor="page" w:tblpX="1642" w:tblpY="281"/>
        <w:tblOverlap w:val="never"/>
        <w:tblW w:w="4750" w:type="pct"/>
        <w:tblInd w:w="0" w:type="dxa"/>
        <w:tblLayout w:type="fixed"/>
        <w:tblCellMar>
          <w:top w:w="0" w:type="dxa"/>
          <w:left w:w="108" w:type="dxa"/>
          <w:bottom w:w="0" w:type="dxa"/>
          <w:right w:w="108" w:type="dxa"/>
        </w:tblCellMar>
      </w:tblPr>
      <w:tblGrid>
        <w:gridCol w:w="946"/>
        <w:gridCol w:w="1771"/>
        <w:gridCol w:w="1923"/>
        <w:gridCol w:w="1059"/>
        <w:gridCol w:w="932"/>
        <w:gridCol w:w="1119"/>
        <w:gridCol w:w="1072"/>
      </w:tblGrid>
      <w:tr>
        <w:tblPrEx>
          <w:tblCellMar>
            <w:top w:w="0" w:type="dxa"/>
            <w:left w:w="108" w:type="dxa"/>
            <w:bottom w:w="0" w:type="dxa"/>
            <w:right w:w="108" w:type="dxa"/>
          </w:tblCellMar>
        </w:tblPrEx>
        <w:trPr>
          <w:trHeight w:val="702" w:hRule="atLeast"/>
        </w:trPr>
        <w:tc>
          <w:tcPr>
            <w:tcW w:w="94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序号</w:t>
            </w: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xml:space="preserve">项目名称 </w:t>
            </w: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工作内容</w:t>
            </w:r>
          </w:p>
        </w:tc>
        <w:tc>
          <w:tcPr>
            <w:tcW w:w="105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单位</w:t>
            </w:r>
          </w:p>
        </w:tc>
        <w:tc>
          <w:tcPr>
            <w:tcW w:w="93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数量</w:t>
            </w:r>
          </w:p>
        </w:tc>
        <w:tc>
          <w:tcPr>
            <w:tcW w:w="1119" w:type="dxa"/>
            <w:tcBorders>
              <w:top w:val="single" w:color="auto" w:sz="4" w:space="0"/>
              <w:left w:val="nil"/>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单价</w:t>
            </w:r>
          </w:p>
        </w:tc>
        <w:tc>
          <w:tcPr>
            <w:tcW w:w="1072" w:type="dxa"/>
            <w:tcBorders>
              <w:top w:val="single" w:color="auto" w:sz="4" w:space="0"/>
              <w:left w:val="nil"/>
              <w:bottom w:val="single" w:color="auto" w:sz="4" w:space="0"/>
              <w:right w:val="single" w:color="auto" w:sz="4" w:space="0"/>
            </w:tcBorders>
            <w:noWrap w:val="0"/>
            <w:vAlign w:val="center"/>
          </w:tcPr>
          <w:p>
            <w:pPr>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合价</w:t>
            </w: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94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77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05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9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119"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0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trPr>
        <w:tc>
          <w:tcPr>
            <w:tcW w:w="2717"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合计报价</w:t>
            </w:r>
          </w:p>
        </w:tc>
        <w:tc>
          <w:tcPr>
            <w:tcW w:w="6105" w:type="dxa"/>
            <w:gridSpan w:val="5"/>
            <w:tcBorders>
              <w:top w:val="single" w:color="auto" w:sz="4" w:space="0"/>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bl>
    <w:p>
      <w:pPr>
        <w:spacing w:line="440" w:lineRule="exact"/>
        <w:rPr>
          <w:rFonts w:hint="eastAsia"/>
          <w:i w:val="0"/>
          <w:iCs w:val="0"/>
          <w:szCs w:val="21"/>
          <w:highlight w:val="none"/>
        </w:rPr>
      </w:pPr>
      <w:r>
        <w:rPr>
          <w:rFonts w:hint="eastAsia"/>
          <w:i w:val="0"/>
          <w:iCs w:val="0"/>
          <w:szCs w:val="21"/>
          <w:highlight w:val="none"/>
        </w:rPr>
        <w:br w:type="page"/>
      </w:r>
      <w:r>
        <w:rPr>
          <w:rFonts w:hint="eastAsia" w:ascii="仿宋_GB2312" w:hAnsi="仿宋_GB2312" w:eastAsia="仿宋_GB2312" w:cs="仿宋_GB2312"/>
          <w:i w:val="0"/>
          <w:iCs w:val="0"/>
          <w:sz w:val="28"/>
          <w:szCs w:val="28"/>
          <w:highlight w:val="none"/>
        </w:rPr>
        <w:t>2.2 项目管理费清单</w:t>
      </w:r>
    </w:p>
    <w:p>
      <w:pPr>
        <w:spacing w:line="440" w:lineRule="exact"/>
        <w:ind w:firstLine="420" w:firstLineChars="200"/>
        <w:rPr>
          <w:rFonts w:hint="eastAsia"/>
          <w:i w:val="0"/>
          <w:iCs w:val="0"/>
          <w:szCs w:val="21"/>
          <w:highlight w:val="none"/>
        </w:rPr>
      </w:pPr>
    </w:p>
    <w:p>
      <w:pPr>
        <w:rPr>
          <w:rFonts w:hint="eastAsia"/>
          <w:i w:val="0"/>
          <w:iCs w:val="0"/>
          <w:highlight w:val="none"/>
        </w:rPr>
      </w:pPr>
    </w:p>
    <w:p>
      <w:pPr>
        <w:spacing w:line="440" w:lineRule="exact"/>
        <w:rPr>
          <w:i w:val="0"/>
          <w:iCs w:val="0"/>
          <w:highlight w:val="none"/>
        </w:rPr>
      </w:pPr>
      <w:r>
        <w:rPr>
          <w:rFonts w:hint="eastAsia"/>
          <w:i w:val="0"/>
          <w:iCs w:val="0"/>
          <w:szCs w:val="21"/>
          <w:highlight w:val="none"/>
        </w:rPr>
        <w:br w:type="page"/>
      </w:r>
      <w:r>
        <w:rPr>
          <w:rFonts w:hint="eastAsia" w:ascii="仿宋_GB2312" w:hAnsi="仿宋_GB2312" w:eastAsia="仿宋_GB2312" w:cs="仿宋_GB2312"/>
          <w:i w:val="0"/>
          <w:iCs w:val="0"/>
          <w:sz w:val="28"/>
          <w:szCs w:val="28"/>
          <w:highlight w:val="none"/>
        </w:rPr>
        <w:t>2.3 暂估价清单</w:t>
      </w:r>
    </w:p>
    <w:p>
      <w:pPr>
        <w:spacing w:line="400" w:lineRule="exact"/>
        <w:ind w:firstLine="630" w:firstLineChars="3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2.3.1  材料暂估价表</w:t>
      </w:r>
    </w:p>
    <w:p>
      <w:pPr>
        <w:spacing w:line="400" w:lineRule="exact"/>
        <w:ind w:firstLine="630" w:firstLineChars="300"/>
        <w:rPr>
          <w:rFonts w:hint="eastAsia"/>
          <w:i w:val="0"/>
          <w:iCs w:val="0"/>
          <w:highlight w:val="none"/>
        </w:rPr>
      </w:pPr>
    </w:p>
    <w:tbl>
      <w:tblPr>
        <w:tblStyle w:val="41"/>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305"/>
        <w:gridCol w:w="1304"/>
        <w:gridCol w:w="1304"/>
        <w:gridCol w:w="1304"/>
        <w:gridCol w:w="1310"/>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序号</w:t>
            </w:r>
          </w:p>
        </w:tc>
        <w:tc>
          <w:tcPr>
            <w:tcW w:w="126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名称</w:t>
            </w: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单位</w:t>
            </w: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数量</w:t>
            </w: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cr/>
            </w:r>
            <w:r>
              <w:rPr>
                <w:rFonts w:hint="eastAsia" w:ascii="仿宋_GB2312" w:hAnsi="仿宋_GB2312" w:eastAsia="仿宋_GB2312" w:cs="仿宋_GB2312"/>
                <w:i w:val="0"/>
                <w:iCs w:val="0"/>
                <w:sz w:val="18"/>
                <w:szCs w:val="18"/>
                <w:highlight w:val="none"/>
              </w:rPr>
              <w:t>单价</w:t>
            </w:r>
          </w:p>
        </w:tc>
        <w:tc>
          <w:tcPr>
            <w:tcW w:w="126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cr/>
            </w:r>
            <w:r>
              <w:rPr>
                <w:rFonts w:hint="eastAsia" w:ascii="仿宋_GB2312" w:hAnsi="仿宋_GB2312" w:eastAsia="仿宋_GB2312" w:cs="仿宋_GB2312"/>
                <w:i w:val="0"/>
                <w:iCs w:val="0"/>
                <w:sz w:val="18"/>
                <w:szCs w:val="18"/>
                <w:highlight w:val="none"/>
              </w:rPr>
              <w:t xml:space="preserve">合价 </w:t>
            </w:r>
          </w:p>
        </w:tc>
        <w:tc>
          <w:tcPr>
            <w:tcW w:w="12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0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6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bl>
    <w:p>
      <w:pPr>
        <w:spacing w:line="400" w:lineRule="exact"/>
        <w:ind w:firstLine="630" w:firstLineChars="300"/>
        <w:rPr>
          <w:rFonts w:hint="eastAsia" w:ascii="仿宋_GB2312" w:hAnsi="仿宋_GB2312" w:eastAsia="仿宋_GB2312" w:cs="仿宋_GB2312"/>
          <w:i w:val="0"/>
          <w:iCs w:val="0"/>
          <w:szCs w:val="21"/>
          <w:highlight w:val="none"/>
        </w:rPr>
      </w:pPr>
    </w:p>
    <w:p>
      <w:pPr>
        <w:spacing w:line="400" w:lineRule="exact"/>
        <w:ind w:firstLine="630" w:firstLineChars="3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2.3.2 工程设备暂估价表</w:t>
      </w:r>
    </w:p>
    <w:tbl>
      <w:tblPr>
        <w:tblStyle w:val="41"/>
        <w:tblpPr w:leftFromText="180" w:rightFromText="180" w:vertAnchor="text" w:horzAnchor="page" w:tblpX="1632" w:tblpY="401"/>
        <w:tblOverlap w:val="never"/>
        <w:tblW w:w="47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305"/>
        <w:gridCol w:w="1304"/>
        <w:gridCol w:w="1304"/>
        <w:gridCol w:w="1304"/>
        <w:gridCol w:w="1310"/>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序号</w:t>
            </w:r>
          </w:p>
        </w:tc>
        <w:tc>
          <w:tcPr>
            <w:tcW w:w="130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名称</w:t>
            </w: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单位</w:t>
            </w: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数量</w:t>
            </w: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cr/>
            </w:r>
            <w:r>
              <w:rPr>
                <w:rFonts w:hint="eastAsia" w:ascii="仿宋_GB2312" w:hAnsi="仿宋_GB2312" w:eastAsia="仿宋_GB2312" w:cs="仿宋_GB2312"/>
                <w:i w:val="0"/>
                <w:iCs w:val="0"/>
                <w:sz w:val="18"/>
                <w:szCs w:val="18"/>
                <w:highlight w:val="none"/>
              </w:rPr>
              <w:t>单价</w:t>
            </w:r>
          </w:p>
        </w:tc>
        <w:tc>
          <w:tcPr>
            <w:tcW w:w="13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cr/>
            </w:r>
            <w:r>
              <w:rPr>
                <w:rFonts w:hint="eastAsia" w:ascii="仿宋_GB2312" w:hAnsi="仿宋_GB2312" w:eastAsia="仿宋_GB2312" w:cs="仿宋_GB2312"/>
                <w:i w:val="0"/>
                <w:iCs w:val="0"/>
                <w:sz w:val="18"/>
                <w:szCs w:val="18"/>
                <w:highlight w:val="none"/>
              </w:rPr>
              <w:t xml:space="preserve">合价 </w:t>
            </w:r>
          </w:p>
        </w:tc>
        <w:tc>
          <w:tcPr>
            <w:tcW w:w="125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5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5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4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5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5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5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0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310"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25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bl>
    <w:p>
      <w:pPr>
        <w:spacing w:line="400" w:lineRule="exact"/>
        <w:ind w:firstLine="630" w:firstLineChars="300"/>
        <w:rPr>
          <w:rFonts w:hint="eastAsia"/>
          <w:i w:val="0"/>
          <w:iCs w:val="0"/>
          <w:szCs w:val="21"/>
          <w:highlight w:val="none"/>
        </w:rPr>
      </w:pPr>
    </w:p>
    <w:p>
      <w:pPr>
        <w:spacing w:line="400" w:lineRule="exact"/>
        <w:rPr>
          <w:i w:val="0"/>
          <w:iCs w:val="0"/>
          <w:highlight w:val="none"/>
        </w:rPr>
      </w:pPr>
    </w:p>
    <w:p>
      <w:pPr>
        <w:spacing w:line="400" w:lineRule="exact"/>
        <w:ind w:firstLine="630" w:firstLineChars="3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2.3.3 专业工程暂估价表</w:t>
      </w:r>
    </w:p>
    <w:p>
      <w:pPr>
        <w:spacing w:line="400" w:lineRule="exact"/>
        <w:rPr>
          <w:rFonts w:hint="eastAsia"/>
          <w:i w:val="0"/>
          <w:iCs w:val="0"/>
          <w:szCs w:val="21"/>
          <w:highlight w:val="none"/>
        </w:rPr>
      </w:pPr>
    </w:p>
    <w:tbl>
      <w:tblPr>
        <w:tblStyle w:val="41"/>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678"/>
        <w:gridCol w:w="5215"/>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序号</w:t>
            </w:r>
          </w:p>
        </w:tc>
        <w:tc>
          <w:tcPr>
            <w:tcW w:w="167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专业工程名称</w:t>
            </w:r>
          </w:p>
        </w:tc>
        <w:tc>
          <w:tcPr>
            <w:tcW w:w="521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工程内容</w:t>
            </w:r>
          </w:p>
        </w:tc>
        <w:tc>
          <w:tcPr>
            <w:tcW w:w="107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67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521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07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67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521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07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67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521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07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678"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521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07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2" w:type="dxa"/>
            <w:gridSpan w:val="4"/>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小计：</w:t>
            </w:r>
          </w:p>
        </w:tc>
      </w:tr>
    </w:tbl>
    <w:p>
      <w:pPr>
        <w:rPr>
          <w:rFonts w:hint="eastAsia"/>
          <w:i w:val="0"/>
          <w:iCs w:val="0"/>
          <w:szCs w:val="21"/>
          <w:highlight w:val="none"/>
        </w:rPr>
      </w:pPr>
      <w:r>
        <w:rPr>
          <w:i w:val="0"/>
          <w:iCs w:val="0"/>
          <w:szCs w:val="21"/>
          <w:highlight w:val="none"/>
        </w:rPr>
        <w:br w:type="page"/>
      </w:r>
      <w:r>
        <w:rPr>
          <w:rFonts w:hint="eastAsia" w:ascii="仿宋_GB2312" w:hAnsi="仿宋_GB2312" w:eastAsia="仿宋_GB2312" w:cs="仿宋_GB2312"/>
          <w:i w:val="0"/>
          <w:iCs w:val="0"/>
          <w:sz w:val="28"/>
          <w:szCs w:val="28"/>
          <w:highlight w:val="none"/>
        </w:rPr>
        <w:t>2.4 其它费用清单</w:t>
      </w:r>
    </w:p>
    <w:p>
      <w:pPr>
        <w:rPr>
          <w:rFonts w:hint="eastAsia"/>
          <w:i w:val="0"/>
          <w:iCs w:val="0"/>
          <w:szCs w:val="21"/>
          <w:highlight w:val="none"/>
        </w:rPr>
      </w:pPr>
    </w:p>
    <w:p>
      <w:pPr>
        <w:widowControl/>
        <w:jc w:val="right"/>
        <w:rPr>
          <w:i w:val="0"/>
          <w:iCs w:val="0"/>
          <w:kern w:val="0"/>
          <w:sz w:val="20"/>
          <w:highlight w:val="none"/>
        </w:rPr>
      </w:pPr>
      <w:r>
        <w:rPr>
          <w:rFonts w:hint="eastAsia" w:ascii="仿宋_GB2312" w:hAnsi="仿宋_GB2312" w:eastAsia="仿宋_GB2312" w:cs="仿宋_GB2312"/>
          <w:i w:val="0"/>
          <w:iCs w:val="0"/>
          <w:szCs w:val="21"/>
          <w:highlight w:val="none"/>
        </w:rPr>
        <w:t>单位：人民币元</w:t>
      </w:r>
    </w:p>
    <w:tbl>
      <w:tblPr>
        <w:tblStyle w:val="41"/>
        <w:tblW w:w="4750" w:type="pct"/>
        <w:jc w:val="center"/>
        <w:tblLayout w:type="fixed"/>
        <w:tblCellMar>
          <w:top w:w="0" w:type="dxa"/>
          <w:left w:w="108" w:type="dxa"/>
          <w:bottom w:w="0" w:type="dxa"/>
          <w:right w:w="108" w:type="dxa"/>
        </w:tblCellMar>
      </w:tblPr>
      <w:tblGrid>
        <w:gridCol w:w="948"/>
        <w:gridCol w:w="2516"/>
        <w:gridCol w:w="1180"/>
        <w:gridCol w:w="2207"/>
        <w:gridCol w:w="1971"/>
      </w:tblGrid>
      <w:tr>
        <w:tblPrEx>
          <w:tblCellMar>
            <w:top w:w="0" w:type="dxa"/>
            <w:left w:w="108" w:type="dxa"/>
            <w:bottom w:w="0" w:type="dxa"/>
            <w:right w:w="108" w:type="dxa"/>
          </w:tblCellMar>
        </w:tblPrEx>
        <w:trPr>
          <w:trHeight w:val="702"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序号</w:t>
            </w: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xml:space="preserve">项目名称 </w:t>
            </w: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内容</w:t>
            </w:r>
          </w:p>
        </w:tc>
        <w:tc>
          <w:tcPr>
            <w:tcW w:w="213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金 额</w:t>
            </w:r>
          </w:p>
        </w:tc>
        <w:tc>
          <w:tcPr>
            <w:tcW w:w="1904"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备注</w:t>
            </w: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9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43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11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13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1904"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702" w:hRule="atLeast"/>
          <w:jc w:val="center"/>
        </w:trPr>
        <w:tc>
          <w:tcPr>
            <w:tcW w:w="334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合计报价</w:t>
            </w:r>
          </w:p>
        </w:tc>
        <w:tc>
          <w:tcPr>
            <w:tcW w:w="5176" w:type="dxa"/>
            <w:gridSpan w:val="3"/>
            <w:tcBorders>
              <w:top w:val="single" w:color="auto" w:sz="4" w:space="0"/>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bl>
    <w:p>
      <w:pPr>
        <w:rPr>
          <w:rFonts w:hint="eastAsia"/>
          <w:i w:val="0"/>
          <w:iCs w:val="0"/>
          <w:szCs w:val="21"/>
          <w:highlight w:val="none"/>
        </w:rPr>
      </w:pPr>
    </w:p>
    <w:p>
      <w:pPr>
        <w:rPr>
          <w:rFonts w:hint="eastAsia"/>
          <w:i w:val="0"/>
          <w:iCs w:val="0"/>
          <w:szCs w:val="21"/>
          <w:highlight w:val="none"/>
        </w:rPr>
      </w:pPr>
      <w:r>
        <w:rPr>
          <w:rFonts w:hint="eastAsia" w:ascii="仿宋_GB2312" w:hAnsi="仿宋_GB2312" w:eastAsia="仿宋_GB2312" w:cs="仿宋_GB2312"/>
          <w:i w:val="0"/>
          <w:iCs w:val="0"/>
          <w:sz w:val="28"/>
          <w:szCs w:val="28"/>
          <w:highlight w:val="none"/>
        </w:rPr>
        <w:t>2.5 投标报价汇总表</w:t>
      </w:r>
    </w:p>
    <w:p>
      <w:pPr>
        <w:rPr>
          <w:rFonts w:hint="eastAsia"/>
          <w:i w:val="0"/>
          <w:iCs w:val="0"/>
          <w:szCs w:val="21"/>
          <w:highlight w:val="none"/>
        </w:rPr>
      </w:pPr>
    </w:p>
    <w:tbl>
      <w:tblPr>
        <w:tblStyle w:val="41"/>
        <w:tblW w:w="4750" w:type="pct"/>
        <w:jc w:val="center"/>
        <w:tblLayout w:type="fixed"/>
        <w:tblCellMar>
          <w:top w:w="0" w:type="dxa"/>
          <w:left w:w="108" w:type="dxa"/>
          <w:bottom w:w="0" w:type="dxa"/>
          <w:right w:w="108" w:type="dxa"/>
        </w:tblCellMar>
      </w:tblPr>
      <w:tblGrid>
        <w:gridCol w:w="947"/>
        <w:gridCol w:w="2871"/>
        <w:gridCol w:w="2352"/>
        <w:gridCol w:w="2652"/>
      </w:tblGrid>
      <w:tr>
        <w:tblPrEx>
          <w:tblCellMar>
            <w:top w:w="0" w:type="dxa"/>
            <w:left w:w="108" w:type="dxa"/>
            <w:bottom w:w="0" w:type="dxa"/>
            <w:right w:w="108" w:type="dxa"/>
          </w:tblCellMar>
        </w:tblPrEx>
        <w:trPr>
          <w:trHeight w:val="567" w:hRule="atLeast"/>
          <w:jc w:val="center"/>
        </w:trPr>
        <w:tc>
          <w:tcPr>
            <w:tcW w:w="91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序号</w:t>
            </w: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 xml:space="preserve">项目名称 </w:t>
            </w:r>
          </w:p>
        </w:tc>
        <w:tc>
          <w:tcPr>
            <w:tcW w:w="227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金额（人民币元）</w:t>
            </w:r>
          </w:p>
        </w:tc>
        <w:tc>
          <w:tcPr>
            <w:tcW w:w="256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备注</w:t>
            </w:r>
          </w:p>
        </w:tc>
      </w:tr>
      <w:tr>
        <w:tblPrEx>
          <w:tblCellMar>
            <w:top w:w="0" w:type="dxa"/>
            <w:left w:w="108" w:type="dxa"/>
            <w:bottom w:w="0" w:type="dxa"/>
            <w:right w:w="108" w:type="dxa"/>
          </w:tblCellMar>
        </w:tblPrEx>
        <w:trPr>
          <w:trHeight w:val="65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5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5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5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5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5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5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5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562"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556"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02"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ind w:right="-42" w:rightChars="-20"/>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602"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rPr>
          <w:trHeight w:val="533"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sz w:val="18"/>
                <w:szCs w:val="18"/>
                <w:highlight w:val="none"/>
              </w:rPr>
            </w:pPr>
          </w:p>
        </w:tc>
      </w:tr>
      <w:tr>
        <w:tblPrEx>
          <w:tblCellMar>
            <w:top w:w="0" w:type="dxa"/>
            <w:left w:w="108" w:type="dxa"/>
            <w:bottom w:w="0" w:type="dxa"/>
            <w:right w:w="108" w:type="dxa"/>
          </w:tblCellMar>
        </w:tblPrEx>
        <w:trPr>
          <w:trHeight w:val="567"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567"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567"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567"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right"/>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567" w:hRule="atLeast"/>
          <w:jc w:val="center"/>
        </w:trPr>
        <w:tc>
          <w:tcPr>
            <w:tcW w:w="915"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7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27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c>
          <w:tcPr>
            <w:tcW w:w="2562"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r>
      <w:tr>
        <w:tblPrEx>
          <w:tblCellMar>
            <w:top w:w="0" w:type="dxa"/>
            <w:left w:w="108" w:type="dxa"/>
            <w:bottom w:w="0" w:type="dxa"/>
            <w:right w:w="108" w:type="dxa"/>
          </w:tblCellMar>
        </w:tblPrEx>
        <w:trPr>
          <w:trHeight w:val="567" w:hRule="atLeast"/>
          <w:jc w:val="center"/>
        </w:trPr>
        <w:tc>
          <w:tcPr>
            <w:tcW w:w="3688"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投标报价</w:t>
            </w:r>
          </w:p>
        </w:tc>
        <w:tc>
          <w:tcPr>
            <w:tcW w:w="4834" w:type="dxa"/>
            <w:gridSpan w:val="2"/>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i w:val="0"/>
                <w:iCs w:val="0"/>
                <w:kern w:val="0"/>
                <w:sz w:val="18"/>
                <w:szCs w:val="18"/>
                <w:highlight w:val="none"/>
              </w:rPr>
            </w:pPr>
          </w:p>
        </w:tc>
      </w:tr>
    </w:tbl>
    <w:p>
      <w:pPr>
        <w:spacing w:line="440" w:lineRule="exact"/>
        <w:jc w:val="center"/>
        <w:rPr>
          <w:rFonts w:eastAsia="黑体"/>
          <w:i w:val="0"/>
          <w:iCs w:val="0"/>
          <w:sz w:val="20"/>
          <w:szCs w:val="20"/>
          <w:highlight w:val="none"/>
        </w:rPr>
      </w:pPr>
    </w:p>
    <w:p>
      <w:pPr>
        <w:pStyle w:val="3"/>
        <w:jc w:val="center"/>
        <w:rPr>
          <w:b w:val="0"/>
          <w:bCs w:val="0"/>
          <w:i w:val="0"/>
          <w:iCs w:val="0"/>
          <w:highlight w:val="none"/>
        </w:rPr>
      </w:pPr>
      <w:bookmarkStart w:id="715" w:name="_Toc152042585"/>
      <w:bookmarkStart w:id="716" w:name="_Toc247514288"/>
      <w:bookmarkStart w:id="717" w:name="_Toc144974864"/>
      <w:bookmarkStart w:id="718" w:name="_Toc152045796"/>
      <w:bookmarkStart w:id="719" w:name="_Toc247527836"/>
      <w:r>
        <w:rPr>
          <w:i w:val="0"/>
          <w:iCs w:val="0"/>
          <w:highlight w:val="none"/>
        </w:rPr>
        <w:br w:type="page"/>
      </w:r>
      <w:r>
        <w:rPr>
          <w:rFonts w:hint="eastAsia"/>
          <w:i w:val="0"/>
          <w:iCs w:val="0"/>
          <w:highlight w:val="none"/>
        </w:rPr>
        <w:t xml:space="preserve"> </w:t>
      </w:r>
      <w:bookmarkEnd w:id="715"/>
      <w:bookmarkEnd w:id="716"/>
      <w:bookmarkEnd w:id="717"/>
      <w:bookmarkEnd w:id="718"/>
      <w:bookmarkEnd w:id="719"/>
      <w:bookmarkStart w:id="720" w:name="_Toc25929"/>
      <w:r>
        <w:rPr>
          <w:rFonts w:hint="eastAsia"/>
          <w:b w:val="0"/>
          <w:bCs w:val="0"/>
          <w:i w:val="0"/>
          <w:iCs w:val="0"/>
          <w:highlight w:val="none"/>
        </w:rPr>
        <w:t>六、</w:t>
      </w:r>
      <w:bookmarkStart w:id="721" w:name="_Toc152042596"/>
      <w:bookmarkStart w:id="722" w:name="_Toc247527847"/>
      <w:bookmarkStart w:id="723" w:name="_Toc247514299"/>
      <w:bookmarkStart w:id="724" w:name="_Toc152045807"/>
      <w:bookmarkStart w:id="725" w:name="_Toc144974875"/>
      <w:r>
        <w:rPr>
          <w:b w:val="0"/>
          <w:bCs w:val="0"/>
          <w:i w:val="0"/>
          <w:iCs w:val="0"/>
          <w:highlight w:val="none"/>
        </w:rPr>
        <w:t>资格审查资料</w:t>
      </w:r>
      <w:bookmarkEnd w:id="720"/>
      <w:bookmarkEnd w:id="721"/>
      <w:bookmarkEnd w:id="722"/>
      <w:bookmarkEnd w:id="723"/>
      <w:bookmarkEnd w:id="724"/>
      <w:bookmarkEnd w:id="725"/>
    </w:p>
    <w:p>
      <w:pPr>
        <w:pStyle w:val="4"/>
        <w:ind w:firstLine="137"/>
        <w:rPr>
          <w:i w:val="0"/>
          <w:iCs w:val="0"/>
          <w:highlight w:val="none"/>
        </w:rPr>
      </w:pPr>
      <w:bookmarkStart w:id="726" w:name="_Toc152042597"/>
      <w:bookmarkStart w:id="727" w:name="_Toc247514300"/>
      <w:bookmarkStart w:id="728" w:name="_Toc144974876"/>
      <w:bookmarkStart w:id="729" w:name="_Toc247527848"/>
      <w:bookmarkStart w:id="730" w:name="_Toc152045808"/>
      <w:r>
        <w:rPr>
          <w:i w:val="0"/>
          <w:iCs w:val="0"/>
          <w:highlight w:val="none"/>
        </w:rPr>
        <w:t>（一）投标人基本情况表</w:t>
      </w:r>
      <w:bookmarkEnd w:id="726"/>
      <w:bookmarkEnd w:id="727"/>
      <w:bookmarkEnd w:id="728"/>
      <w:bookmarkEnd w:id="729"/>
      <w:bookmarkEnd w:id="730"/>
    </w:p>
    <w:p>
      <w:pPr>
        <w:topLinePunct/>
        <w:spacing w:line="440" w:lineRule="exact"/>
        <w:rPr>
          <w:rFonts w:eastAsia="黑体"/>
          <w:i w:val="0"/>
          <w:iCs w:val="0"/>
          <w:sz w:val="23"/>
          <w:szCs w:val="23"/>
          <w:highlight w:val="none"/>
        </w:rPr>
      </w:pPr>
    </w:p>
    <w:tbl>
      <w:tblPr>
        <w:tblStyle w:val="41"/>
        <w:tblW w:w="475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80"/>
        <w:gridCol w:w="925"/>
        <w:gridCol w:w="979"/>
        <w:gridCol w:w="865"/>
        <w:gridCol w:w="432"/>
        <w:gridCol w:w="320"/>
        <w:gridCol w:w="1110"/>
        <w:gridCol w:w="505"/>
        <w:gridCol w:w="885"/>
        <w:gridCol w:w="102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投标人名称</w:t>
            </w:r>
          </w:p>
        </w:tc>
        <w:tc>
          <w:tcPr>
            <w:tcW w:w="7042"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注册地址</w:t>
            </w:r>
          </w:p>
        </w:tc>
        <w:tc>
          <w:tcPr>
            <w:tcW w:w="3521"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邮政编码</w:t>
            </w:r>
          </w:p>
        </w:tc>
        <w:tc>
          <w:tcPr>
            <w:tcW w:w="24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1780"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联系方式</w:t>
            </w:r>
          </w:p>
        </w:tc>
        <w:tc>
          <w:tcPr>
            <w:tcW w:w="92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联系人</w:t>
            </w:r>
          </w:p>
        </w:tc>
        <w:tc>
          <w:tcPr>
            <w:tcW w:w="2596"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电 话</w:t>
            </w:r>
          </w:p>
        </w:tc>
        <w:tc>
          <w:tcPr>
            <w:tcW w:w="24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178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传  真</w:t>
            </w:r>
          </w:p>
        </w:tc>
        <w:tc>
          <w:tcPr>
            <w:tcW w:w="2596"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网 址</w:t>
            </w:r>
          </w:p>
        </w:tc>
        <w:tc>
          <w:tcPr>
            <w:tcW w:w="24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组织结构</w:t>
            </w:r>
          </w:p>
        </w:tc>
        <w:tc>
          <w:tcPr>
            <w:tcW w:w="7042"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法定代表人</w:t>
            </w:r>
          </w:p>
        </w:tc>
        <w:tc>
          <w:tcPr>
            <w:tcW w:w="92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姓名</w:t>
            </w:r>
          </w:p>
        </w:tc>
        <w:tc>
          <w:tcPr>
            <w:tcW w:w="97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12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技术职称</w:t>
            </w:r>
          </w:p>
        </w:tc>
        <w:tc>
          <w:tcPr>
            <w:tcW w:w="1935"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电话</w:t>
            </w:r>
          </w:p>
        </w:tc>
        <w:tc>
          <w:tcPr>
            <w:tcW w:w="1021"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技术负责人</w:t>
            </w:r>
          </w:p>
        </w:tc>
        <w:tc>
          <w:tcPr>
            <w:tcW w:w="92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姓名</w:t>
            </w:r>
          </w:p>
        </w:tc>
        <w:tc>
          <w:tcPr>
            <w:tcW w:w="979"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12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技术职称</w:t>
            </w:r>
          </w:p>
        </w:tc>
        <w:tc>
          <w:tcPr>
            <w:tcW w:w="1935"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电话</w:t>
            </w:r>
          </w:p>
        </w:tc>
        <w:tc>
          <w:tcPr>
            <w:tcW w:w="1021"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成立时间</w:t>
            </w:r>
          </w:p>
        </w:tc>
        <w:tc>
          <w:tcPr>
            <w:tcW w:w="19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5138" w:type="dxa"/>
            <w:gridSpan w:val="7"/>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ind w:firstLine="90" w:firstLineChars="5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企业资质等级</w:t>
            </w:r>
          </w:p>
        </w:tc>
        <w:tc>
          <w:tcPr>
            <w:tcW w:w="19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865"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其中</w:t>
            </w:r>
          </w:p>
        </w:tc>
        <w:tc>
          <w:tcPr>
            <w:tcW w:w="2367"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项目经理</w:t>
            </w:r>
          </w:p>
        </w:tc>
        <w:tc>
          <w:tcPr>
            <w:tcW w:w="1906"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营业执照号</w:t>
            </w:r>
          </w:p>
        </w:tc>
        <w:tc>
          <w:tcPr>
            <w:tcW w:w="19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865"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2367"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高级职称人员</w:t>
            </w:r>
          </w:p>
        </w:tc>
        <w:tc>
          <w:tcPr>
            <w:tcW w:w="1906"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注册资金</w:t>
            </w:r>
          </w:p>
        </w:tc>
        <w:tc>
          <w:tcPr>
            <w:tcW w:w="19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865"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2367"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中级职称人员</w:t>
            </w:r>
          </w:p>
        </w:tc>
        <w:tc>
          <w:tcPr>
            <w:tcW w:w="1906"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开户银行</w:t>
            </w:r>
          </w:p>
        </w:tc>
        <w:tc>
          <w:tcPr>
            <w:tcW w:w="19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865"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2367"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初级职称人员</w:t>
            </w:r>
          </w:p>
        </w:tc>
        <w:tc>
          <w:tcPr>
            <w:tcW w:w="1906"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账号</w:t>
            </w:r>
          </w:p>
        </w:tc>
        <w:tc>
          <w:tcPr>
            <w:tcW w:w="19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865"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c>
          <w:tcPr>
            <w:tcW w:w="2367"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技工</w:t>
            </w:r>
          </w:p>
        </w:tc>
        <w:tc>
          <w:tcPr>
            <w:tcW w:w="1906"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1780" w:type="dxa"/>
            <w:tcBorders>
              <w:top w:val="single" w:color="auto" w:sz="4" w:space="0"/>
              <w:left w:val="single" w:color="auto" w:sz="4" w:space="0"/>
              <w:right w:val="single" w:color="auto" w:sz="4" w:space="0"/>
            </w:tcBorders>
            <w:noWrap w:val="0"/>
            <w:vAlign w:val="center"/>
          </w:tcPr>
          <w:p>
            <w:pPr>
              <w:topLinePunct/>
              <w:spacing w:line="440" w:lineRule="exact"/>
              <w:ind w:firstLine="180" w:firstLineChars="100"/>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经营范围</w:t>
            </w:r>
          </w:p>
        </w:tc>
        <w:tc>
          <w:tcPr>
            <w:tcW w:w="7042" w:type="dxa"/>
            <w:gridSpan w:val="9"/>
            <w:tcBorders>
              <w:top w:val="single" w:color="auto" w:sz="4" w:space="0"/>
              <w:left w:val="single" w:color="auto" w:sz="4" w:space="0"/>
              <w:right w:val="single" w:color="auto" w:sz="4" w:space="0"/>
            </w:tcBorders>
            <w:noWrap w:val="0"/>
            <w:vAlign w:val="center"/>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8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备注</w:t>
            </w:r>
          </w:p>
        </w:tc>
        <w:tc>
          <w:tcPr>
            <w:tcW w:w="7042"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p>
        </w:tc>
      </w:tr>
    </w:tbl>
    <w:p>
      <w:pPr>
        <w:topLinePunct/>
        <w:spacing w:line="440" w:lineRule="exact"/>
        <w:jc w:val="both"/>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注：投标人应根据投标人须知第3.5.1项要求在本表后附相关材料扫描件</w:t>
      </w:r>
    </w:p>
    <w:p>
      <w:pPr>
        <w:pStyle w:val="4"/>
        <w:ind w:firstLine="98"/>
        <w:rPr>
          <w:rFonts w:hint="eastAsia"/>
          <w:i w:val="0"/>
          <w:iCs w:val="0"/>
          <w:highlight w:val="none"/>
        </w:rPr>
      </w:pPr>
      <w:r>
        <w:rPr>
          <w:i w:val="0"/>
          <w:iCs w:val="0"/>
          <w:sz w:val="20"/>
          <w:highlight w:val="none"/>
        </w:rPr>
        <w:br w:type="page"/>
      </w:r>
      <w:bookmarkStart w:id="731" w:name="_Toc247514301"/>
      <w:bookmarkStart w:id="732" w:name="_Toc247527849"/>
      <w:bookmarkStart w:id="733" w:name="_Toc144974877"/>
      <w:bookmarkStart w:id="734" w:name="_Toc152042598"/>
      <w:bookmarkStart w:id="735" w:name="_Toc152045809"/>
      <w:r>
        <w:rPr>
          <w:i w:val="0"/>
          <w:iCs w:val="0"/>
          <w:highlight w:val="none"/>
        </w:rPr>
        <w:t>（二）近</w:t>
      </w:r>
      <w:r>
        <w:rPr>
          <w:rFonts w:hint="eastAsia"/>
          <w:i w:val="0"/>
          <w:iCs w:val="0"/>
          <w:highlight w:val="none"/>
        </w:rPr>
        <w:t>3</w:t>
      </w:r>
      <w:r>
        <w:rPr>
          <w:i w:val="0"/>
          <w:iCs w:val="0"/>
          <w:highlight w:val="none"/>
        </w:rPr>
        <w:t>年财务状况表</w:t>
      </w:r>
      <w:bookmarkEnd w:id="731"/>
      <w:bookmarkEnd w:id="732"/>
      <w:bookmarkEnd w:id="733"/>
      <w:bookmarkEnd w:id="734"/>
      <w:bookmarkEnd w:id="735"/>
    </w:p>
    <w:p>
      <w:pPr>
        <w:autoSpaceDE w:val="0"/>
        <w:autoSpaceDN w:val="0"/>
        <w:adjustRightInd w:val="0"/>
        <w:jc w:val="center"/>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（近3年指</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年至</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p>
    <w:p>
      <w:pPr>
        <w:ind w:firstLine="210" w:firstLineChars="100"/>
        <w:rPr>
          <w:rFonts w:hint="eastAsia" w:ascii="仿宋_GB2312" w:hAnsi="仿宋_GB2312" w:eastAsia="仿宋_GB2312" w:cs="仿宋_GB2312"/>
          <w:i w:val="0"/>
          <w:iCs w:val="0"/>
          <w:kern w:val="0"/>
          <w:highlight w:val="none"/>
        </w:rPr>
      </w:pPr>
    </w:p>
    <w:p>
      <w:pPr>
        <w:autoSpaceDE w:val="0"/>
        <w:autoSpaceDN w:val="0"/>
        <w:adjustRightInd w:val="0"/>
        <w:jc w:val="center"/>
        <w:rPr>
          <w:rFonts w:hint="eastAsia" w:ascii="仿宋_GB2312" w:hAnsi="仿宋_GB2312" w:eastAsia="仿宋_GB2312" w:cs="仿宋_GB2312"/>
          <w:b/>
          <w:i w:val="0"/>
          <w:iCs w:val="0"/>
          <w:kern w:val="0"/>
          <w:szCs w:val="21"/>
          <w:highlight w:val="none"/>
        </w:rPr>
      </w:pPr>
      <w:r>
        <w:rPr>
          <w:rFonts w:hint="eastAsia" w:ascii="仿宋_GB2312" w:hAnsi="仿宋_GB2312" w:eastAsia="仿宋_GB2312" w:cs="仿宋_GB2312"/>
          <w:b/>
          <w:i w:val="0"/>
          <w:iCs w:val="0"/>
          <w:kern w:val="0"/>
          <w:szCs w:val="21"/>
          <w:highlight w:val="none"/>
        </w:rPr>
        <w:t>财务状况表</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6"/>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autoSpaceDE w:val="0"/>
              <w:autoSpaceDN w:val="0"/>
              <w:adjustRightInd w:val="0"/>
              <w:spacing w:after="120" w:line="54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名　　称</w:t>
            </w:r>
          </w:p>
        </w:tc>
        <w:tc>
          <w:tcPr>
            <w:tcW w:w="1705" w:type="dxa"/>
            <w:noWrap w:val="0"/>
            <w:vAlign w:val="center"/>
          </w:tcPr>
          <w:p>
            <w:pPr>
              <w:autoSpaceDE w:val="0"/>
              <w:autoSpaceDN w:val="0"/>
              <w:adjustRightInd w:val="0"/>
              <w:spacing w:after="120" w:line="54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单　位</w:t>
            </w:r>
          </w:p>
        </w:tc>
        <w:tc>
          <w:tcPr>
            <w:tcW w:w="1706" w:type="dxa"/>
            <w:noWrap w:val="0"/>
            <w:vAlign w:val="center"/>
          </w:tcPr>
          <w:p>
            <w:pPr>
              <w:autoSpaceDE w:val="0"/>
              <w:autoSpaceDN w:val="0"/>
              <w:adjustRightInd w:val="0"/>
              <w:spacing w:after="120" w:line="54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年</w:t>
            </w:r>
          </w:p>
        </w:tc>
        <w:tc>
          <w:tcPr>
            <w:tcW w:w="1706" w:type="dxa"/>
            <w:noWrap w:val="0"/>
            <w:vAlign w:val="center"/>
          </w:tcPr>
          <w:p>
            <w:pPr>
              <w:autoSpaceDE w:val="0"/>
              <w:autoSpaceDN w:val="0"/>
              <w:adjustRightInd w:val="0"/>
              <w:spacing w:after="120" w:line="54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年</w:t>
            </w:r>
          </w:p>
        </w:tc>
        <w:tc>
          <w:tcPr>
            <w:tcW w:w="1706" w:type="dxa"/>
            <w:noWrap w:val="0"/>
            <w:vAlign w:val="center"/>
          </w:tcPr>
          <w:p>
            <w:pPr>
              <w:autoSpaceDE w:val="0"/>
              <w:autoSpaceDN w:val="0"/>
              <w:adjustRightInd w:val="0"/>
              <w:spacing w:after="120" w:line="54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spacing w:after="12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一、注册资金</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spacing w:after="12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二、净资产</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spacing w:after="12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三、总资产</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spacing w:after="12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四、固定资产</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autoSpaceDE w:val="0"/>
              <w:autoSpaceDN w:val="0"/>
              <w:adjustRightInd w:val="0"/>
              <w:spacing w:after="120" w:line="540" w:lineRule="exac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五、流动资产</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spacing w:after="12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六、流动负债</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spacing w:after="12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七、负债合计</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spacing w:after="12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八、营业收入</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pPr>
              <w:spacing w:after="120"/>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九、净利润</w:t>
            </w:r>
          </w:p>
        </w:tc>
        <w:tc>
          <w:tcPr>
            <w:tcW w:w="1705"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c>
          <w:tcPr>
            <w:tcW w:w="1706" w:type="dxa"/>
            <w:noWrap w:val="0"/>
            <w:vAlign w:val="center"/>
          </w:tcPr>
          <w:p>
            <w:pPr>
              <w:autoSpaceDE w:val="0"/>
              <w:autoSpaceDN w:val="0"/>
              <w:adjustRightInd w:val="0"/>
              <w:spacing w:after="120" w:line="540" w:lineRule="exact"/>
              <w:ind w:left="420" w:leftChars="200"/>
              <w:jc w:val="center"/>
              <w:rPr>
                <w:rFonts w:hint="eastAsia" w:ascii="仿宋_GB2312" w:hAnsi="仿宋_GB2312" w:eastAsia="仿宋_GB2312" w:cs="仿宋_GB2312"/>
                <w:i w:val="0"/>
                <w:iCs w:val="0"/>
                <w:kern w:val="0"/>
                <w:sz w:val="18"/>
                <w:szCs w:val="18"/>
                <w:highlight w:val="none"/>
              </w:rPr>
            </w:pPr>
          </w:p>
        </w:tc>
      </w:tr>
    </w:tbl>
    <w:p>
      <w:pPr>
        <w:autoSpaceDE w:val="0"/>
        <w:autoSpaceDN w:val="0"/>
        <w:adjustRightInd w:val="0"/>
        <w:jc w:val="left"/>
        <w:rPr>
          <w:rFonts w:ascii="Arial" w:hAnsi="Arial"/>
          <w:i w:val="0"/>
          <w:iCs w:val="0"/>
          <w:kern w:val="0"/>
          <w:szCs w:val="21"/>
          <w:highlight w:val="none"/>
        </w:rPr>
      </w:pPr>
    </w:p>
    <w:p>
      <w:pPr>
        <w:autoSpaceDE w:val="0"/>
        <w:autoSpaceDN w:val="0"/>
        <w:adjustRightInd w:val="0"/>
        <w:jc w:val="left"/>
        <w:rPr>
          <w:rFonts w:hint="eastAsia" w:ascii="仿宋_GB2312" w:hAnsi="仿宋_GB2312" w:eastAsia="仿宋_GB2312" w:cs="仿宋_GB2312"/>
          <w:i w:val="0"/>
          <w:iCs w:val="0"/>
          <w:kern w:val="0"/>
          <w:szCs w:val="21"/>
          <w:highlight w:val="none"/>
        </w:rPr>
      </w:pPr>
    </w:p>
    <w:p>
      <w:pPr>
        <w:jc w:val="left"/>
        <w:rPr>
          <w:rFonts w:hint="eastAsia" w:ascii="仿宋_GB2312" w:hAnsi="仿宋_GB2312" w:eastAsia="仿宋_GB2312" w:cs="仿宋_GB2312"/>
          <w:i w:val="0"/>
          <w:iCs w:val="0"/>
          <w:kern w:val="0"/>
          <w:highlight w:val="none"/>
        </w:rPr>
      </w:pPr>
      <w:r>
        <w:rPr>
          <w:rFonts w:hint="eastAsia" w:ascii="仿宋_GB2312" w:hAnsi="仿宋_GB2312" w:eastAsia="仿宋_GB2312" w:cs="仿宋_GB2312"/>
          <w:i w:val="0"/>
          <w:iCs w:val="0"/>
          <w:kern w:val="0"/>
          <w:szCs w:val="21"/>
          <w:highlight w:val="none"/>
        </w:rPr>
        <w:t>注：投标人应根据投标人须知第3.5.2项要求在本表后附相关材料扫描件。</w:t>
      </w:r>
    </w:p>
    <w:p>
      <w:pPr>
        <w:ind w:firstLine="137"/>
        <w:rPr>
          <w:i w:val="0"/>
          <w:iCs w:val="0"/>
          <w:highlight w:val="none"/>
        </w:rPr>
      </w:pPr>
    </w:p>
    <w:p>
      <w:pPr>
        <w:topLinePunct/>
        <w:spacing w:line="440" w:lineRule="exact"/>
        <w:jc w:val="center"/>
        <w:rPr>
          <w:rFonts w:eastAsia="黑体"/>
          <w:i w:val="0"/>
          <w:iCs w:val="0"/>
          <w:sz w:val="20"/>
          <w:szCs w:val="20"/>
          <w:highlight w:val="none"/>
        </w:rPr>
      </w:pPr>
    </w:p>
    <w:p>
      <w:pPr>
        <w:pStyle w:val="4"/>
        <w:ind w:firstLine="98"/>
        <w:rPr>
          <w:i w:val="0"/>
          <w:iCs w:val="0"/>
          <w:highlight w:val="none"/>
        </w:rPr>
      </w:pPr>
      <w:r>
        <w:rPr>
          <w:i w:val="0"/>
          <w:iCs w:val="0"/>
          <w:sz w:val="20"/>
          <w:szCs w:val="20"/>
          <w:highlight w:val="none"/>
        </w:rPr>
        <w:br w:type="page"/>
      </w:r>
      <w:bookmarkStart w:id="736" w:name="_Toc144974878"/>
      <w:bookmarkStart w:id="737" w:name="_Toc247527850"/>
      <w:bookmarkStart w:id="738" w:name="_Toc152045810"/>
      <w:bookmarkStart w:id="739" w:name="_Toc247514302"/>
      <w:bookmarkStart w:id="740" w:name="_Toc152042599"/>
      <w:r>
        <w:rPr>
          <w:i w:val="0"/>
          <w:iCs w:val="0"/>
          <w:highlight w:val="none"/>
        </w:rPr>
        <w:t>（三）近年完成的类似项目情况表</w:t>
      </w:r>
      <w:bookmarkEnd w:id="736"/>
      <w:bookmarkEnd w:id="737"/>
      <w:bookmarkEnd w:id="738"/>
      <w:bookmarkEnd w:id="739"/>
      <w:bookmarkEnd w:id="740"/>
    </w:p>
    <w:tbl>
      <w:tblPr>
        <w:tblStyle w:val="41"/>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9"/>
        <w:gridCol w:w="6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项目名称</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项目所在地</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发包人名称</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发包人地址</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发包人电话</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合同价格</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实际工期</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 xml:space="preserve">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承担的工作</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工程质量</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项目经理</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技术负责人</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49" w:type="dxa"/>
            <w:noWrap w:val="0"/>
            <w:vAlign w:val="center"/>
          </w:tcPr>
          <w:p>
            <w:pPr>
              <w:topLinePunct/>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合同主要工作内容</w:t>
            </w:r>
          </w:p>
        </w:tc>
        <w:tc>
          <w:tcPr>
            <w:tcW w:w="6473" w:type="dxa"/>
            <w:noWrap w:val="0"/>
            <w:vAlign w:val="top"/>
          </w:tcPr>
          <w:p>
            <w:pPr>
              <w:topLinePunct/>
              <w:spacing w:line="440" w:lineRule="exact"/>
              <w:rPr>
                <w:rFonts w:hint="eastAsia" w:ascii="仿宋_GB2312" w:hAnsi="仿宋_GB2312" w:eastAsia="仿宋_GB2312" w:cs="仿宋_GB2312"/>
                <w:i w:val="0"/>
                <w:iCs w:val="0"/>
                <w:sz w:val="18"/>
                <w:szCs w:val="18"/>
                <w:highlight w:val="none"/>
              </w:rPr>
            </w:pPr>
          </w:p>
          <w:p>
            <w:pPr>
              <w:topLinePunct/>
              <w:spacing w:line="440" w:lineRule="exact"/>
              <w:rPr>
                <w:rFonts w:hint="eastAsia" w:ascii="仿宋_GB2312" w:hAnsi="仿宋_GB2312" w:eastAsia="仿宋_GB2312" w:cs="仿宋_GB2312"/>
                <w:i w:val="0"/>
                <w:iCs w:val="0"/>
                <w:sz w:val="18"/>
                <w:szCs w:val="18"/>
                <w:highlight w:val="none"/>
              </w:rPr>
            </w:pPr>
          </w:p>
          <w:p>
            <w:pPr>
              <w:topLinePunct/>
              <w:spacing w:line="440" w:lineRule="exact"/>
              <w:rPr>
                <w:rFonts w:hint="eastAsia" w:ascii="仿宋_GB2312" w:hAnsi="仿宋_GB2312" w:eastAsia="仿宋_GB2312" w:cs="仿宋_GB2312"/>
                <w:i w:val="0"/>
                <w:iCs w:val="0"/>
                <w:sz w:val="18"/>
                <w:szCs w:val="18"/>
                <w:highlight w:val="none"/>
              </w:rPr>
            </w:pPr>
          </w:p>
          <w:p>
            <w:pPr>
              <w:topLinePunct/>
              <w:spacing w:line="440" w:lineRule="exact"/>
              <w:rPr>
                <w:rFonts w:hint="eastAsia" w:ascii="仿宋_GB2312" w:hAnsi="仿宋_GB2312" w:eastAsia="仿宋_GB2312" w:cs="仿宋_GB2312"/>
                <w:i w:val="0"/>
                <w:iCs w:val="0"/>
                <w:sz w:val="18"/>
                <w:szCs w:val="18"/>
                <w:highlight w:val="none"/>
              </w:rPr>
            </w:pPr>
          </w:p>
          <w:p>
            <w:pPr>
              <w:topLinePunct/>
              <w:spacing w:line="440" w:lineRule="exact"/>
              <w:rPr>
                <w:rFonts w:hint="eastAsia" w:ascii="仿宋_GB2312" w:hAnsi="仿宋_GB2312" w:eastAsia="仿宋_GB2312" w:cs="仿宋_GB2312"/>
                <w:i w:val="0"/>
                <w:iCs w:val="0"/>
                <w:sz w:val="18"/>
                <w:szCs w:val="18"/>
                <w:highlight w:val="none"/>
              </w:rPr>
            </w:pPr>
          </w:p>
          <w:p>
            <w:pPr>
              <w:topLinePunct/>
              <w:spacing w:line="440" w:lineRule="exact"/>
              <w:rPr>
                <w:rFonts w:hint="eastAsia" w:ascii="仿宋_GB2312" w:hAnsi="仿宋_GB2312" w:eastAsia="仿宋_GB2312" w:cs="仿宋_GB2312"/>
                <w:i w:val="0"/>
                <w:iCs w:val="0"/>
                <w:sz w:val="18"/>
                <w:szCs w:val="18"/>
                <w:highlight w:val="none"/>
              </w:rPr>
            </w:pPr>
          </w:p>
          <w:p>
            <w:pPr>
              <w:topLinePunct/>
              <w:spacing w:line="440" w:lineRule="exact"/>
              <w:rPr>
                <w:rFonts w:hint="eastAsia" w:ascii="仿宋_GB2312" w:hAnsi="仿宋_GB2312" w:eastAsia="仿宋_GB2312" w:cs="仿宋_GB2312"/>
                <w:i w:val="0"/>
                <w:iCs w:val="0"/>
                <w:sz w:val="18"/>
                <w:szCs w:val="18"/>
                <w:highlight w:val="none"/>
              </w:rPr>
            </w:pPr>
          </w:p>
        </w:tc>
      </w:tr>
    </w:tbl>
    <w:p>
      <w:pPr>
        <w:rPr>
          <w:rFonts w:hint="eastAsia" w:ascii="仿宋_GB2312" w:hAnsi="仿宋_GB2312" w:eastAsia="仿宋_GB2312" w:cs="仿宋_GB2312"/>
          <w:i w:val="0"/>
          <w:iCs w:val="0"/>
          <w:highlight w:val="none"/>
        </w:rPr>
      </w:pPr>
      <w:bookmarkStart w:id="741" w:name="_Toc152045812"/>
      <w:bookmarkStart w:id="742" w:name="_Toc152042601"/>
      <w:bookmarkStart w:id="743" w:name="_Toc247514304"/>
      <w:bookmarkStart w:id="744" w:name="_Toc247527852"/>
      <w:bookmarkStart w:id="745" w:name="_Toc144974880"/>
      <w:r>
        <w:rPr>
          <w:rFonts w:hint="eastAsia" w:ascii="仿宋_GB2312" w:hAnsi="仿宋_GB2312" w:eastAsia="仿宋_GB2312" w:cs="仿宋_GB2312"/>
          <w:i w:val="0"/>
          <w:iCs w:val="0"/>
          <w:highlight w:val="none"/>
        </w:rPr>
        <w:t>注：投标人应根据投标人须知第3.5.3项要求在本表后附相关材料扫描件，每张表格只填写一个项目，并标明序号</w:t>
      </w:r>
    </w:p>
    <w:p>
      <w:pPr>
        <w:pStyle w:val="4"/>
        <w:ind w:firstLine="137"/>
        <w:rPr>
          <w:i w:val="0"/>
          <w:iCs w:val="0"/>
          <w:highlight w:val="none"/>
        </w:rPr>
      </w:pPr>
      <w:r>
        <w:rPr>
          <w:i w:val="0"/>
          <w:iCs w:val="0"/>
          <w:highlight w:val="none"/>
        </w:rPr>
        <w:br w:type="page"/>
      </w:r>
      <w:bookmarkEnd w:id="741"/>
      <w:bookmarkEnd w:id="742"/>
      <w:bookmarkEnd w:id="743"/>
      <w:bookmarkEnd w:id="744"/>
      <w:bookmarkEnd w:id="745"/>
      <w:r>
        <w:rPr>
          <w:rFonts w:hint="eastAsia"/>
          <w:i w:val="0"/>
          <w:iCs w:val="0"/>
          <w:highlight w:val="none"/>
        </w:rPr>
        <w:t>（四）近３年发生的诉讼及仲裁情况表</w:t>
      </w:r>
    </w:p>
    <w:p>
      <w:pPr>
        <w:autoSpaceDE w:val="0"/>
        <w:autoSpaceDN w:val="0"/>
        <w:adjustRightInd w:val="0"/>
        <w:jc w:val="center"/>
        <w:rPr>
          <w:rFonts w:ascii="Arial" w:hAnsi="Arial" w:cs="Wingdings"/>
          <w:i w:val="0"/>
          <w:iCs w:val="0"/>
          <w:kern w:val="0"/>
          <w:szCs w:val="21"/>
          <w:highlight w:val="none"/>
        </w:rPr>
      </w:pPr>
    </w:p>
    <w:p>
      <w:pPr>
        <w:autoSpaceDE w:val="0"/>
        <w:autoSpaceDN w:val="0"/>
        <w:adjustRightInd w:val="0"/>
        <w:jc w:val="center"/>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（近3年指</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月至</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月）</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980"/>
        <w:gridCol w:w="2340"/>
        <w:gridCol w:w="1421"/>
        <w:gridCol w:w="1253"/>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序号</w:t>
            </w:r>
          </w:p>
        </w:tc>
        <w:tc>
          <w:tcPr>
            <w:tcW w:w="1980"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诉讼或仲裁事项</w:t>
            </w:r>
          </w:p>
        </w:tc>
        <w:tc>
          <w:tcPr>
            <w:tcW w:w="2340"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诉讼或仲裁中的地位</w:t>
            </w:r>
          </w:p>
        </w:tc>
        <w:tc>
          <w:tcPr>
            <w:tcW w:w="1421"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缘由</w:t>
            </w:r>
          </w:p>
        </w:tc>
        <w:tc>
          <w:tcPr>
            <w:tcW w:w="1253"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结果</w:t>
            </w:r>
          </w:p>
        </w:tc>
        <w:tc>
          <w:tcPr>
            <w:tcW w:w="1470"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一</w:t>
            </w:r>
          </w:p>
        </w:tc>
        <w:tc>
          <w:tcPr>
            <w:tcW w:w="1980" w:type="dxa"/>
            <w:noWrap w:val="0"/>
            <w:vAlign w:val="center"/>
          </w:tcPr>
          <w:p>
            <w:pPr>
              <w:autoSpaceDE w:val="0"/>
              <w:autoSpaceDN w:val="0"/>
              <w:adjustRightInd w:val="0"/>
              <w:spacing w:after="120" w:line="600" w:lineRule="exac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诉讼事项</w:t>
            </w: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pPr>
              <w:autoSpaceDE w:val="0"/>
              <w:autoSpaceDN w:val="0"/>
              <w:adjustRightInd w:val="0"/>
              <w:spacing w:after="120" w:line="600" w:lineRule="exact"/>
              <w:jc w:val="center"/>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二</w:t>
            </w:r>
          </w:p>
        </w:tc>
        <w:tc>
          <w:tcPr>
            <w:tcW w:w="1980" w:type="dxa"/>
            <w:noWrap w:val="0"/>
            <w:vAlign w:val="center"/>
          </w:tcPr>
          <w:p>
            <w:pPr>
              <w:autoSpaceDE w:val="0"/>
              <w:autoSpaceDN w:val="0"/>
              <w:adjustRightInd w:val="0"/>
              <w:spacing w:after="120" w:line="600" w:lineRule="exact"/>
              <w:rPr>
                <w:rFonts w:hint="eastAsia" w:ascii="仿宋_GB2312" w:hAnsi="仿宋_GB2312" w:eastAsia="仿宋_GB2312" w:cs="仿宋_GB2312"/>
                <w:i w:val="0"/>
                <w:iCs w:val="0"/>
                <w:kern w:val="0"/>
                <w:sz w:val="18"/>
                <w:szCs w:val="18"/>
                <w:highlight w:val="none"/>
              </w:rPr>
            </w:pPr>
            <w:r>
              <w:rPr>
                <w:rFonts w:hint="eastAsia" w:ascii="仿宋_GB2312" w:hAnsi="仿宋_GB2312" w:eastAsia="仿宋_GB2312" w:cs="仿宋_GB2312"/>
                <w:i w:val="0"/>
                <w:iCs w:val="0"/>
                <w:kern w:val="0"/>
                <w:sz w:val="18"/>
                <w:szCs w:val="18"/>
                <w:highlight w:val="none"/>
              </w:rPr>
              <w:t>仲裁事项</w:t>
            </w: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234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21"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253"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470" w:type="dxa"/>
            <w:noWrap w:val="0"/>
            <w:vAlign w:val="center"/>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top"/>
          </w:tcPr>
          <w:p>
            <w:pPr>
              <w:autoSpaceDE w:val="0"/>
              <w:autoSpaceDN w:val="0"/>
              <w:adjustRightInd w:val="0"/>
              <w:spacing w:after="120" w:line="600" w:lineRule="exact"/>
              <w:ind w:left="420" w:leftChars="200"/>
              <w:jc w:val="center"/>
              <w:rPr>
                <w:rFonts w:hint="eastAsia" w:ascii="仿宋_GB2312" w:hAnsi="仿宋_GB2312" w:eastAsia="仿宋_GB2312" w:cs="仿宋_GB2312"/>
                <w:i w:val="0"/>
                <w:iCs w:val="0"/>
                <w:kern w:val="0"/>
                <w:sz w:val="18"/>
                <w:szCs w:val="18"/>
                <w:highlight w:val="none"/>
              </w:rPr>
            </w:pPr>
          </w:p>
        </w:tc>
        <w:tc>
          <w:tcPr>
            <w:tcW w:w="198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234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21"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253"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c>
          <w:tcPr>
            <w:tcW w:w="1470" w:type="dxa"/>
            <w:noWrap w:val="0"/>
            <w:vAlign w:val="top"/>
          </w:tcPr>
          <w:p>
            <w:pPr>
              <w:autoSpaceDE w:val="0"/>
              <w:autoSpaceDN w:val="0"/>
              <w:adjustRightInd w:val="0"/>
              <w:spacing w:after="120" w:line="600" w:lineRule="exact"/>
              <w:ind w:left="420" w:leftChars="200"/>
              <w:jc w:val="left"/>
              <w:rPr>
                <w:rFonts w:hint="eastAsia" w:ascii="仿宋_GB2312" w:hAnsi="仿宋_GB2312" w:eastAsia="仿宋_GB2312" w:cs="仿宋_GB2312"/>
                <w:i w:val="0"/>
                <w:iCs w:val="0"/>
                <w:kern w:val="0"/>
                <w:sz w:val="18"/>
                <w:szCs w:val="18"/>
                <w:highlight w:val="none"/>
              </w:rPr>
            </w:pPr>
          </w:p>
        </w:tc>
      </w:tr>
    </w:tbl>
    <w:p>
      <w:pPr>
        <w:rPr>
          <w:rFonts w:hint="eastAsia"/>
          <w:i w:val="0"/>
          <w:iCs w:val="0"/>
          <w:highlight w:val="none"/>
        </w:rPr>
      </w:pPr>
    </w:p>
    <w:p>
      <w:pPr>
        <w:autoSpaceDE w:val="0"/>
        <w:autoSpaceDN w:val="0"/>
        <w:adjustRightInd w:val="0"/>
        <w:jc w:val="left"/>
        <w:rPr>
          <w:rFonts w:eastAsia="黑体"/>
          <w:i w:val="0"/>
          <w:iCs w:val="0"/>
          <w:sz w:val="20"/>
          <w:szCs w:val="20"/>
          <w:highlight w:val="none"/>
        </w:rPr>
      </w:pPr>
      <w:r>
        <w:rPr>
          <w:rFonts w:hint="eastAsia" w:ascii="Arial" w:hAnsi="Arial" w:cs="@O9-PK7484ba-Identity-H"/>
          <w:i w:val="0"/>
          <w:iCs w:val="0"/>
          <w:kern w:val="0"/>
          <w:szCs w:val="21"/>
          <w:highlight w:val="none"/>
        </w:rPr>
        <w:t>　</w:t>
      </w:r>
      <w:r>
        <w:rPr>
          <w:rFonts w:hint="eastAsia" w:ascii="仿宋_GB2312" w:hAnsi="仿宋_GB2312" w:eastAsia="仿宋_GB2312" w:cs="仿宋_GB2312"/>
          <w:i w:val="0"/>
          <w:iCs w:val="0"/>
          <w:kern w:val="0"/>
          <w:szCs w:val="21"/>
          <w:highlight w:val="none"/>
        </w:rPr>
        <w:t>注：投标人应根据投标人须知第3.5.4项要求在本表后附相关材料扫描件。</w:t>
      </w:r>
      <w:bookmarkStart w:id="746" w:name="_Toc247527853"/>
      <w:bookmarkStart w:id="747" w:name="_Toc152042602"/>
      <w:bookmarkStart w:id="748" w:name="_Toc247530162"/>
      <w:bookmarkStart w:id="749" w:name="_Toc152045813"/>
      <w:bookmarkStart w:id="750" w:name="_Toc247514305"/>
      <w:bookmarkStart w:id="751" w:name="_Toc144974881"/>
    </w:p>
    <w:p>
      <w:pPr>
        <w:pStyle w:val="4"/>
        <w:ind w:firstLine="98"/>
        <w:rPr>
          <w:i w:val="0"/>
          <w:iCs w:val="0"/>
          <w:highlight w:val="none"/>
        </w:rPr>
      </w:pPr>
      <w:r>
        <w:rPr>
          <w:i w:val="0"/>
          <w:iCs w:val="0"/>
          <w:sz w:val="20"/>
          <w:szCs w:val="20"/>
          <w:highlight w:val="none"/>
        </w:rPr>
        <w:br w:type="page"/>
      </w:r>
      <w:bookmarkStart w:id="752" w:name="_Toc179632824"/>
      <w:bookmarkStart w:id="753" w:name="_Toc152042593"/>
      <w:bookmarkStart w:id="754" w:name="_Toc152045804"/>
      <w:bookmarkStart w:id="755" w:name="_Toc144974872"/>
      <w:r>
        <w:rPr>
          <w:i w:val="0"/>
          <w:iCs w:val="0"/>
          <w:highlight w:val="none"/>
        </w:rPr>
        <w:t>（</w:t>
      </w:r>
      <w:r>
        <w:rPr>
          <w:rFonts w:hint="eastAsia"/>
          <w:i w:val="0"/>
          <w:iCs w:val="0"/>
          <w:highlight w:val="none"/>
        </w:rPr>
        <w:t>五</w:t>
      </w:r>
      <w:r>
        <w:rPr>
          <w:i w:val="0"/>
          <w:iCs w:val="0"/>
          <w:highlight w:val="none"/>
        </w:rPr>
        <w:t>）项目管理机构组成表</w:t>
      </w:r>
      <w:bookmarkEnd w:id="752"/>
      <w:bookmarkEnd w:id="753"/>
      <w:bookmarkEnd w:id="754"/>
      <w:bookmarkEnd w:id="755"/>
    </w:p>
    <w:p>
      <w:pPr>
        <w:spacing w:line="440" w:lineRule="exact"/>
        <w:jc w:val="center"/>
        <w:rPr>
          <w:rFonts w:eastAsia="黑体"/>
          <w:i w:val="0"/>
          <w:iCs w:val="0"/>
          <w:sz w:val="23"/>
          <w:szCs w:val="23"/>
          <w:highlight w:val="none"/>
        </w:rPr>
      </w:pPr>
    </w:p>
    <w:tbl>
      <w:tblPr>
        <w:tblStyle w:val="41"/>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746"/>
        <w:gridCol w:w="744"/>
        <w:gridCol w:w="1119"/>
        <w:gridCol w:w="744"/>
        <w:gridCol w:w="746"/>
        <w:gridCol w:w="744"/>
        <w:gridCol w:w="2612"/>
        <w:gridCol w:w="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vMerge w:val="restart"/>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职务</w:t>
            </w:r>
          </w:p>
        </w:tc>
        <w:tc>
          <w:tcPr>
            <w:tcW w:w="721" w:type="dxa"/>
            <w:vMerge w:val="restart"/>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姓名</w:t>
            </w:r>
          </w:p>
        </w:tc>
        <w:tc>
          <w:tcPr>
            <w:tcW w:w="719" w:type="dxa"/>
            <w:vMerge w:val="restart"/>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职称</w:t>
            </w:r>
          </w:p>
        </w:tc>
        <w:tc>
          <w:tcPr>
            <w:tcW w:w="5763" w:type="dxa"/>
            <w:gridSpan w:val="5"/>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执业或职业资格证明</w:t>
            </w:r>
          </w:p>
        </w:tc>
        <w:tc>
          <w:tcPr>
            <w:tcW w:w="67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vMerge w:val="continue"/>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vMerge w:val="continue"/>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vMerge w:val="continue"/>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证书名称</w:t>
            </w:r>
          </w:p>
        </w:tc>
        <w:tc>
          <w:tcPr>
            <w:tcW w:w="719"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级别</w:t>
            </w:r>
          </w:p>
        </w:tc>
        <w:tc>
          <w:tcPr>
            <w:tcW w:w="72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证号</w:t>
            </w:r>
          </w:p>
        </w:tc>
        <w:tc>
          <w:tcPr>
            <w:tcW w:w="719"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专业</w:t>
            </w:r>
          </w:p>
        </w:tc>
        <w:tc>
          <w:tcPr>
            <w:tcW w:w="252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养老保险</w:t>
            </w:r>
          </w:p>
        </w:tc>
        <w:tc>
          <w:tcPr>
            <w:tcW w:w="67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108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21"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719"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2523"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c>
          <w:tcPr>
            <w:tcW w:w="672" w:type="dxa"/>
            <w:noWrap w:val="0"/>
            <w:vAlign w:val="top"/>
          </w:tcPr>
          <w:p>
            <w:pPr>
              <w:spacing w:line="440" w:lineRule="exact"/>
              <w:jc w:val="center"/>
              <w:rPr>
                <w:rFonts w:hint="eastAsia" w:ascii="仿宋_GB2312" w:hAnsi="仿宋_GB2312" w:eastAsia="仿宋_GB2312" w:cs="仿宋_GB2312"/>
                <w:i w:val="0"/>
                <w:iCs w:val="0"/>
                <w:sz w:val="18"/>
                <w:szCs w:val="18"/>
                <w:highlight w:val="none"/>
              </w:rPr>
            </w:pPr>
          </w:p>
        </w:tc>
      </w:tr>
    </w:tbl>
    <w:p>
      <w:pPr>
        <w:spacing w:line="440" w:lineRule="exact"/>
        <w:ind w:left="210" w:leftChars="100"/>
        <w:jc w:val="center"/>
        <w:rPr>
          <w:rFonts w:eastAsia="黑体"/>
          <w:i w:val="0"/>
          <w:iCs w:val="0"/>
          <w:sz w:val="20"/>
          <w:szCs w:val="20"/>
          <w:highlight w:val="none"/>
        </w:rPr>
      </w:pPr>
    </w:p>
    <w:p>
      <w:pPr>
        <w:pStyle w:val="4"/>
        <w:ind w:firstLine="137"/>
        <w:rPr>
          <w:i w:val="0"/>
          <w:iCs w:val="0"/>
          <w:highlight w:val="none"/>
        </w:rPr>
      </w:pPr>
      <w:r>
        <w:rPr>
          <w:i w:val="0"/>
          <w:iCs w:val="0"/>
          <w:highlight w:val="none"/>
        </w:rPr>
        <w:br w:type="page"/>
      </w:r>
      <w:bookmarkStart w:id="756" w:name="_Toc179632825"/>
      <w:bookmarkStart w:id="757" w:name="_Toc152045805"/>
      <w:bookmarkStart w:id="758" w:name="_Toc152042594"/>
      <w:bookmarkStart w:id="759" w:name="_Toc144974873"/>
      <w:r>
        <w:rPr>
          <w:i w:val="0"/>
          <w:iCs w:val="0"/>
          <w:highlight w:val="none"/>
        </w:rPr>
        <w:t>（</w:t>
      </w:r>
      <w:r>
        <w:rPr>
          <w:rFonts w:hint="eastAsia"/>
          <w:i w:val="0"/>
          <w:iCs w:val="0"/>
          <w:highlight w:val="none"/>
        </w:rPr>
        <w:t>六</w:t>
      </w:r>
      <w:r>
        <w:rPr>
          <w:i w:val="0"/>
          <w:iCs w:val="0"/>
          <w:highlight w:val="none"/>
        </w:rPr>
        <w:t>）主要人员简历表</w:t>
      </w:r>
      <w:bookmarkEnd w:id="756"/>
      <w:bookmarkEnd w:id="757"/>
      <w:bookmarkEnd w:id="758"/>
      <w:bookmarkEnd w:id="759"/>
    </w:p>
    <w:p>
      <w:pPr>
        <w:spacing w:line="40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“主要人员简历表”中的项目经理应附项目经理证、身份证、职称证、学历证、养老保险复印件，管理过的项目业绩须附合同协议书复印件；其他主要人员应附职称证（执业证或上岗证书）、养老保险复印件。</w:t>
      </w:r>
    </w:p>
    <w:p>
      <w:pPr>
        <w:topLinePunct/>
        <w:spacing w:line="440" w:lineRule="exact"/>
        <w:jc w:val="center"/>
        <w:rPr>
          <w:rFonts w:eastAsia="黑体"/>
          <w:i w:val="0"/>
          <w:iCs w:val="0"/>
          <w:sz w:val="23"/>
          <w:szCs w:val="23"/>
          <w:highlight w:val="none"/>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722"/>
        <w:gridCol w:w="927"/>
        <w:gridCol w:w="1065"/>
        <w:gridCol w:w="706"/>
        <w:gridCol w:w="1261"/>
        <w:gridCol w:w="163"/>
        <w:gridCol w:w="2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姓  名</w:t>
            </w:r>
          </w:p>
        </w:tc>
        <w:tc>
          <w:tcPr>
            <w:tcW w:w="1079" w:type="dxa"/>
            <w:gridSpan w:val="2"/>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927"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年 龄</w:t>
            </w:r>
          </w:p>
        </w:tc>
        <w:tc>
          <w:tcPr>
            <w:tcW w:w="106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130" w:type="dxa"/>
            <w:gridSpan w:val="3"/>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学历</w:t>
            </w:r>
          </w:p>
        </w:tc>
        <w:tc>
          <w:tcPr>
            <w:tcW w:w="213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职  称</w:t>
            </w:r>
          </w:p>
        </w:tc>
        <w:tc>
          <w:tcPr>
            <w:tcW w:w="1079" w:type="dxa"/>
            <w:gridSpan w:val="2"/>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927"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职 务</w:t>
            </w:r>
          </w:p>
        </w:tc>
        <w:tc>
          <w:tcPr>
            <w:tcW w:w="1065"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c>
          <w:tcPr>
            <w:tcW w:w="2130" w:type="dxa"/>
            <w:gridSpan w:val="3"/>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拟在本合同任职</w:t>
            </w:r>
          </w:p>
        </w:tc>
        <w:tc>
          <w:tcPr>
            <w:tcW w:w="2134"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center"/>
          </w:tcPr>
          <w:p>
            <w:pPr>
              <w:spacing w:line="440" w:lineRule="exact"/>
              <w:jc w:val="center"/>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毕业学校</w:t>
            </w:r>
          </w:p>
        </w:tc>
        <w:tc>
          <w:tcPr>
            <w:tcW w:w="7335" w:type="dxa"/>
            <w:gridSpan w:val="8"/>
            <w:noWrap w:val="0"/>
            <w:vAlign w:val="top"/>
          </w:tcPr>
          <w:p>
            <w:pPr>
              <w:spacing w:line="440" w:lineRule="exact"/>
              <w:ind w:firstLine="810" w:firstLineChars="450"/>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2" w:type="dxa"/>
            <w:gridSpan w:val="9"/>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4"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时  间</w:t>
            </w:r>
          </w:p>
        </w:tc>
        <w:tc>
          <w:tcPr>
            <w:tcW w:w="3420" w:type="dxa"/>
            <w:gridSpan w:val="4"/>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参加过的类似项目</w:t>
            </w:r>
          </w:p>
        </w:tc>
        <w:tc>
          <w:tcPr>
            <w:tcW w:w="1261" w:type="dxa"/>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担任职务</w:t>
            </w:r>
          </w:p>
        </w:tc>
        <w:tc>
          <w:tcPr>
            <w:tcW w:w="2297"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r>
              <w:rPr>
                <w:rFonts w:hint="eastAsia" w:ascii="仿宋_GB2312" w:hAnsi="仿宋_GB2312" w:eastAsia="仿宋_GB2312" w:cs="仿宋_GB2312"/>
                <w:i w:val="0"/>
                <w:iCs w:val="0"/>
                <w:sz w:val="18"/>
                <w:szCs w:val="18"/>
                <w:highlight w:val="none"/>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2297" w:type="dxa"/>
            <w:gridSpan w:val="2"/>
            <w:noWrap w:val="0"/>
            <w:vAlign w:val="top"/>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2297" w:type="dxa"/>
            <w:gridSpan w:val="2"/>
            <w:noWrap w:val="0"/>
            <w:vAlign w:val="top"/>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top"/>
          </w:tcPr>
          <w:p>
            <w:pPr>
              <w:spacing w:line="440" w:lineRule="exact"/>
              <w:rPr>
                <w:rFonts w:hint="eastAsia" w:ascii="仿宋_GB2312" w:hAnsi="仿宋_GB2312" w:eastAsia="仿宋_GB2312" w:cs="仿宋_GB2312"/>
                <w:i w:val="0"/>
                <w:iCs w:val="0"/>
                <w:sz w:val="18"/>
                <w:szCs w:val="18"/>
                <w:highlight w:val="none"/>
              </w:rPr>
            </w:pPr>
          </w:p>
        </w:tc>
        <w:tc>
          <w:tcPr>
            <w:tcW w:w="2297" w:type="dxa"/>
            <w:gridSpan w:val="2"/>
            <w:noWrap w:val="0"/>
            <w:vAlign w:val="top"/>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2297"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2297"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2297"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2297"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2297"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3420" w:type="dxa"/>
            <w:gridSpan w:val="4"/>
            <w:noWrap w:val="0"/>
            <w:vAlign w:val="center"/>
          </w:tcPr>
          <w:p>
            <w:pPr>
              <w:spacing w:line="440" w:lineRule="exact"/>
              <w:rPr>
                <w:rFonts w:hint="eastAsia" w:ascii="仿宋_GB2312" w:hAnsi="仿宋_GB2312" w:eastAsia="仿宋_GB2312" w:cs="仿宋_GB2312"/>
                <w:i w:val="0"/>
                <w:iCs w:val="0"/>
                <w:sz w:val="18"/>
                <w:szCs w:val="18"/>
                <w:highlight w:val="none"/>
              </w:rPr>
            </w:pPr>
          </w:p>
        </w:tc>
        <w:tc>
          <w:tcPr>
            <w:tcW w:w="1261" w:type="dxa"/>
            <w:noWrap w:val="0"/>
            <w:vAlign w:val="center"/>
          </w:tcPr>
          <w:p>
            <w:pPr>
              <w:spacing w:line="440" w:lineRule="exact"/>
              <w:rPr>
                <w:rFonts w:hint="eastAsia" w:ascii="仿宋_GB2312" w:hAnsi="仿宋_GB2312" w:eastAsia="仿宋_GB2312" w:cs="仿宋_GB2312"/>
                <w:i w:val="0"/>
                <w:iCs w:val="0"/>
                <w:sz w:val="18"/>
                <w:szCs w:val="18"/>
                <w:highlight w:val="none"/>
              </w:rPr>
            </w:pPr>
          </w:p>
          <w:bookmarkEnd w:id="746"/>
          <w:bookmarkEnd w:id="747"/>
          <w:bookmarkEnd w:id="748"/>
          <w:bookmarkEnd w:id="749"/>
          <w:bookmarkEnd w:id="750"/>
          <w:bookmarkEnd w:id="751"/>
        </w:tc>
        <w:tc>
          <w:tcPr>
            <w:tcW w:w="2297" w:type="dxa"/>
            <w:gridSpan w:val="2"/>
            <w:noWrap w:val="0"/>
            <w:vAlign w:val="center"/>
          </w:tcPr>
          <w:p>
            <w:pPr>
              <w:spacing w:line="440" w:lineRule="exact"/>
              <w:rPr>
                <w:rFonts w:hint="eastAsia" w:ascii="仿宋_GB2312" w:hAnsi="仿宋_GB2312" w:eastAsia="仿宋_GB2312" w:cs="仿宋_GB2312"/>
                <w:i w:val="0"/>
                <w:iCs w:val="0"/>
                <w:sz w:val="18"/>
                <w:szCs w:val="18"/>
                <w:highlight w:val="none"/>
              </w:rPr>
            </w:pPr>
          </w:p>
        </w:tc>
      </w:tr>
    </w:tbl>
    <w:p>
      <w:pPr>
        <w:pStyle w:val="3"/>
        <w:jc w:val="center"/>
        <w:rPr>
          <w:i w:val="0"/>
          <w:iCs w:val="0"/>
          <w:highlight w:val="none"/>
        </w:rPr>
      </w:pPr>
      <w:r>
        <w:rPr>
          <w:i w:val="0"/>
          <w:iCs w:val="0"/>
          <w:highlight w:val="none"/>
        </w:rPr>
        <w:br w:type="page"/>
      </w:r>
      <w:bookmarkStart w:id="760" w:name="_Toc271821942"/>
      <w:bookmarkStart w:id="761" w:name="_Toc21059"/>
      <w:r>
        <w:rPr>
          <w:rFonts w:hint="eastAsia"/>
          <w:b w:val="0"/>
          <w:bCs w:val="0"/>
          <w:i w:val="0"/>
          <w:iCs w:val="0"/>
          <w:highlight w:val="none"/>
        </w:rPr>
        <w:t>七</w:t>
      </w:r>
      <w:r>
        <w:rPr>
          <w:b w:val="0"/>
          <w:bCs w:val="0"/>
          <w:i w:val="0"/>
          <w:iCs w:val="0"/>
          <w:highlight w:val="none"/>
        </w:rPr>
        <w:t>、</w:t>
      </w:r>
      <w:bookmarkEnd w:id="760"/>
      <w:r>
        <w:rPr>
          <w:rFonts w:hint="eastAsia"/>
          <w:b w:val="0"/>
          <w:bCs w:val="0"/>
          <w:i w:val="0"/>
          <w:iCs w:val="0"/>
          <w:highlight w:val="none"/>
        </w:rPr>
        <w:t>承诺书</w:t>
      </w:r>
      <w:bookmarkEnd w:id="761"/>
    </w:p>
    <w:p>
      <w:pPr>
        <w:pStyle w:val="4"/>
        <w:tabs>
          <w:tab w:val="left" w:pos="1530"/>
        </w:tabs>
        <w:ind w:firstLine="137"/>
        <w:rPr>
          <w:i w:val="0"/>
          <w:iCs w:val="0"/>
          <w:highlight w:val="none"/>
        </w:rPr>
      </w:pPr>
      <w:r>
        <w:rPr>
          <w:rFonts w:hint="eastAsia"/>
          <w:i w:val="0"/>
          <w:iCs w:val="0"/>
          <w:highlight w:val="none"/>
        </w:rPr>
        <w:t>（一）项目经理无在建承诺书</w:t>
      </w:r>
    </w:p>
    <w:p>
      <w:pPr>
        <w:widowControl/>
        <w:spacing w:line="440" w:lineRule="exact"/>
        <w:jc w:val="left"/>
        <w:rPr>
          <w:rFonts w:hint="eastAsia" w:ascii="仿宋_GB2312" w:hAnsi="仿宋_GB2312" w:eastAsia="仿宋_GB2312" w:cs="仿宋_GB2312"/>
          <w:i w:val="0"/>
          <w:iCs w:val="0"/>
          <w:kern w:val="0"/>
          <w:szCs w:val="21"/>
          <w:highlight w:val="none"/>
          <w:u w:val="single"/>
        </w:rPr>
      </w:pPr>
    </w:p>
    <w:p>
      <w:pPr>
        <w:widowControl/>
        <w:spacing w:line="440" w:lineRule="exact"/>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u w:val="single"/>
        </w:rPr>
        <w:t xml:space="preserve">         （招标人名称）</w:t>
      </w:r>
      <w:r>
        <w:rPr>
          <w:rFonts w:hint="eastAsia" w:ascii="仿宋_GB2312" w:hAnsi="仿宋_GB2312" w:eastAsia="仿宋_GB2312" w:cs="仿宋_GB2312"/>
          <w:i w:val="0"/>
          <w:iCs w:val="0"/>
          <w:kern w:val="0"/>
          <w:szCs w:val="21"/>
          <w:highlight w:val="none"/>
        </w:rPr>
        <w:t>：</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我方在此承诺，我方拟派往</w:t>
      </w:r>
      <w:r>
        <w:rPr>
          <w:rFonts w:hint="eastAsia" w:ascii="仿宋_GB2312" w:hAnsi="仿宋_GB2312" w:eastAsia="仿宋_GB2312" w:cs="仿宋_GB2312"/>
          <w:i w:val="0"/>
          <w:iCs w:val="0"/>
          <w:kern w:val="0"/>
          <w:szCs w:val="21"/>
          <w:highlight w:val="none"/>
          <w:u w:val="single"/>
        </w:rPr>
        <w:t>                 （项目名称）         （标段名称）</w:t>
      </w:r>
      <w:r>
        <w:rPr>
          <w:rFonts w:hint="eastAsia" w:ascii="仿宋_GB2312" w:hAnsi="仿宋_GB2312" w:eastAsia="仿宋_GB2312" w:cs="仿宋_GB2312"/>
          <w:i w:val="0"/>
          <w:iCs w:val="0"/>
          <w:kern w:val="0"/>
          <w:szCs w:val="21"/>
          <w:highlight w:val="none"/>
        </w:rPr>
        <w:t>（以下简称“本工程”）的项目经理</w:t>
      </w:r>
      <w:r>
        <w:rPr>
          <w:rFonts w:hint="eastAsia" w:ascii="仿宋_GB2312" w:hAnsi="仿宋_GB2312" w:eastAsia="仿宋_GB2312" w:cs="仿宋_GB2312"/>
          <w:i w:val="0"/>
          <w:iCs w:val="0"/>
          <w:kern w:val="0"/>
          <w:szCs w:val="21"/>
          <w:highlight w:val="none"/>
          <w:u w:val="single"/>
        </w:rPr>
        <w:t>          （项目经理姓名）</w:t>
      </w:r>
      <w:r>
        <w:rPr>
          <w:rFonts w:hint="eastAsia" w:ascii="仿宋_GB2312" w:hAnsi="仿宋_GB2312" w:eastAsia="仿宋_GB2312" w:cs="仿宋_GB2312"/>
          <w:i w:val="0"/>
          <w:iCs w:val="0"/>
          <w:kern w:val="0"/>
          <w:szCs w:val="21"/>
          <w:highlight w:val="none"/>
        </w:rPr>
        <w:t>现阶段（投标截止时间之前）没有担任其他在建工程项目经理。</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我方拟派项目经理的能够参加本工程的投标是基于以下理由：</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拟派项目经理存在下列情形：</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1. 同一工程相邻分段发包或分期施工的;</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2. 合同约定的工程验收合格的；</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3. 因非承包方原因致使工程项目停工超过120天（含），经建设单位同意的。</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拟派项目经理担任其他项目负责人期间因下列原因进行了更换，并办理书面交接手续：</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1. 发包方与注册建造师受聘企业已解除承包合同的；</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2. 发包方同意更换项目负责人的；</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3. 因不可抗力等特殊情况必须更换项目负责人的。</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我方保证上述信息的真实和准确，并愿意承担因我方就此弄虚作假所引起的一切法律后果。</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我方在此承诺，我方中标项目的项目经理查实存在担任在建工程项目经理的，我方无条件放弃中标资格，如拟派项目经理参加不同工程项目投标，我方先后被列为第一中标候选人的，我方将无条件放弃评标结果后公示的工程建设项目的中标资格。</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特此承诺。</w:t>
      </w:r>
    </w:p>
    <w:p>
      <w:pPr>
        <w:widowControl/>
        <w:spacing w:line="440" w:lineRule="exact"/>
        <w:jc w:val="left"/>
        <w:rPr>
          <w:rFonts w:hint="eastAsia" w:ascii="仿宋_GB2312" w:hAnsi="仿宋_GB2312" w:eastAsia="仿宋_GB2312" w:cs="仿宋_GB2312"/>
          <w:i w:val="0"/>
          <w:iCs w:val="0"/>
          <w:kern w:val="0"/>
          <w:szCs w:val="21"/>
          <w:highlight w:val="none"/>
        </w:rPr>
      </w:pPr>
    </w:p>
    <w:p>
      <w:pPr>
        <w:widowControl/>
        <w:spacing w:line="440" w:lineRule="exact"/>
        <w:jc w:val="left"/>
        <w:rPr>
          <w:rFonts w:hint="eastAsia" w:ascii="仿宋_GB2312" w:hAnsi="仿宋_GB2312" w:eastAsia="仿宋_GB2312" w:cs="仿宋_GB2312"/>
          <w:i w:val="0"/>
          <w:iCs w:val="0"/>
          <w:kern w:val="0"/>
          <w:szCs w:val="21"/>
          <w:highlight w:val="none"/>
        </w:rPr>
      </w:pPr>
    </w:p>
    <w:p>
      <w:pPr>
        <w:widowControl/>
        <w:spacing w:line="440" w:lineRule="exact"/>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投标人：</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（盖单位章）</w:t>
      </w:r>
    </w:p>
    <w:p>
      <w:pPr>
        <w:widowControl/>
        <w:spacing w:line="440" w:lineRule="exact"/>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法定代表人：</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（签字）</w:t>
      </w:r>
    </w:p>
    <w:p>
      <w:pPr>
        <w:widowControl/>
        <w:wordWrap w:val="0"/>
        <w:spacing w:line="440" w:lineRule="exact"/>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 xml:space="preserve">                      </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月</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日</w:t>
      </w:r>
    </w:p>
    <w:p>
      <w:pPr>
        <w:pStyle w:val="4"/>
        <w:tabs>
          <w:tab w:val="left" w:pos="1530"/>
        </w:tabs>
        <w:ind w:firstLine="137"/>
        <w:rPr>
          <w:i w:val="0"/>
          <w:iCs w:val="0"/>
          <w:highlight w:val="none"/>
        </w:rPr>
      </w:pPr>
      <w:r>
        <w:rPr>
          <w:rFonts w:hint="eastAsia"/>
          <w:i w:val="0"/>
          <w:iCs w:val="0"/>
          <w:highlight w:val="none"/>
        </w:rPr>
        <w:br w:type="page"/>
      </w:r>
      <w:r>
        <w:rPr>
          <w:rFonts w:hint="eastAsia"/>
          <w:i w:val="0"/>
          <w:iCs w:val="0"/>
          <w:highlight w:val="none"/>
        </w:rPr>
        <w:t>（二）促进就业承诺书</w:t>
      </w:r>
    </w:p>
    <w:p>
      <w:pPr>
        <w:widowControl/>
        <w:spacing w:line="440" w:lineRule="exact"/>
        <w:jc w:val="left"/>
        <w:rPr>
          <w:rFonts w:ascii="宋体" w:hAnsi="宋体" w:cs="Arial"/>
          <w:i w:val="0"/>
          <w:iCs w:val="0"/>
          <w:kern w:val="0"/>
          <w:szCs w:val="21"/>
          <w:highlight w:val="none"/>
          <w:u w:val="single"/>
        </w:rPr>
      </w:pPr>
    </w:p>
    <w:p>
      <w:pPr>
        <w:widowControl/>
        <w:spacing w:line="440" w:lineRule="exact"/>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u w:val="single"/>
        </w:rPr>
        <w:t xml:space="preserve">         （招标人名称）</w:t>
      </w:r>
      <w:r>
        <w:rPr>
          <w:rFonts w:hint="eastAsia" w:ascii="仿宋_GB2312" w:hAnsi="仿宋_GB2312" w:eastAsia="仿宋_GB2312" w:cs="仿宋_GB2312"/>
          <w:i w:val="0"/>
          <w:iCs w:val="0"/>
          <w:kern w:val="0"/>
          <w:szCs w:val="21"/>
          <w:highlight w:val="none"/>
        </w:rPr>
        <w:t>：</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我方在此承诺，若我方能够中标</w:t>
      </w:r>
      <w:r>
        <w:rPr>
          <w:rFonts w:hint="eastAsia" w:ascii="仿宋_GB2312" w:hAnsi="仿宋_GB2312" w:eastAsia="仿宋_GB2312" w:cs="仿宋_GB2312"/>
          <w:i w:val="0"/>
          <w:iCs w:val="0"/>
          <w:kern w:val="0"/>
          <w:szCs w:val="21"/>
          <w:highlight w:val="none"/>
          <w:u w:val="single"/>
        </w:rPr>
        <w:t>                 （项目名称）         （标段名称）</w:t>
      </w:r>
      <w:r>
        <w:rPr>
          <w:rFonts w:hint="eastAsia" w:ascii="仿宋_GB2312" w:hAnsi="仿宋_GB2312" w:eastAsia="仿宋_GB2312" w:cs="仿宋_GB2312"/>
          <w:i w:val="0"/>
          <w:iCs w:val="0"/>
          <w:kern w:val="0"/>
          <w:szCs w:val="21"/>
          <w:highlight w:val="none"/>
        </w:rPr>
        <w:t>（以下简称“本工程”），我方将严格按照中标合同金额和《西藏自治区工程建设领域促进就业暂行办法》（藏建市管〔2020〕89号）有关规定，聘用西藏籍大学生。若我方在本工程合同期内没有兑现承诺，自愿接受自治区相关行政处罚。</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特此承诺。</w:t>
      </w: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p>
    <w:p>
      <w:pPr>
        <w:widowControl/>
        <w:spacing w:line="440" w:lineRule="exact"/>
        <w:ind w:firstLine="420" w:firstLineChars="200"/>
        <w:jc w:val="left"/>
        <w:rPr>
          <w:rFonts w:hint="eastAsia" w:ascii="仿宋_GB2312" w:hAnsi="仿宋_GB2312" w:eastAsia="仿宋_GB2312" w:cs="仿宋_GB2312"/>
          <w:i w:val="0"/>
          <w:iCs w:val="0"/>
          <w:kern w:val="0"/>
          <w:szCs w:val="21"/>
          <w:highlight w:val="none"/>
        </w:rPr>
      </w:pPr>
    </w:p>
    <w:p>
      <w:pPr>
        <w:widowControl/>
        <w:spacing w:line="440" w:lineRule="exact"/>
        <w:ind w:firstLine="2730"/>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投标人：</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（盖单位章）</w:t>
      </w:r>
    </w:p>
    <w:p>
      <w:pPr>
        <w:widowControl/>
        <w:spacing w:line="440" w:lineRule="exact"/>
        <w:ind w:firstLine="2730"/>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法定代表人：</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（签字）</w:t>
      </w:r>
    </w:p>
    <w:p>
      <w:pPr>
        <w:widowControl/>
        <w:wordWrap w:val="0"/>
        <w:spacing w:line="440" w:lineRule="exact"/>
        <w:jc w:val="righ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rPr>
        <w:t xml:space="preserve">                      </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月</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日</w:t>
      </w:r>
    </w:p>
    <w:p>
      <w:pPr>
        <w:widowControl/>
        <w:spacing w:line="440" w:lineRule="exact"/>
        <w:jc w:val="center"/>
        <w:rPr>
          <w:rFonts w:ascii="宋体" w:hAnsi="宋体" w:cs="Arial"/>
          <w:i w:val="0"/>
          <w:iCs w:val="0"/>
          <w:kern w:val="0"/>
          <w:szCs w:val="21"/>
          <w:highlight w:val="none"/>
        </w:rPr>
      </w:pPr>
    </w:p>
    <w:p>
      <w:pPr>
        <w:widowControl/>
        <w:spacing w:line="440" w:lineRule="exact"/>
        <w:jc w:val="center"/>
        <w:rPr>
          <w:rFonts w:ascii="宋体" w:hAnsi="宋体" w:cs="Arial"/>
          <w:i w:val="0"/>
          <w:iCs w:val="0"/>
          <w:kern w:val="0"/>
          <w:szCs w:val="21"/>
          <w:highlight w:val="none"/>
        </w:rPr>
      </w:pPr>
    </w:p>
    <w:p>
      <w:pPr>
        <w:widowControl/>
        <w:spacing w:line="440" w:lineRule="exact"/>
        <w:jc w:val="center"/>
        <w:rPr>
          <w:rFonts w:ascii="宋体" w:hAnsi="宋体" w:cs="Arial"/>
          <w:i w:val="0"/>
          <w:iCs w:val="0"/>
          <w:kern w:val="0"/>
          <w:szCs w:val="21"/>
          <w:highlight w:val="none"/>
        </w:rPr>
      </w:pPr>
    </w:p>
    <w:p>
      <w:pPr>
        <w:widowControl/>
        <w:spacing w:line="440" w:lineRule="exact"/>
        <w:jc w:val="center"/>
        <w:rPr>
          <w:rFonts w:ascii="宋体" w:hAnsi="宋体" w:cs="Arial"/>
          <w:i w:val="0"/>
          <w:iCs w:val="0"/>
          <w:kern w:val="0"/>
          <w:szCs w:val="21"/>
          <w:highlight w:val="none"/>
        </w:rPr>
      </w:pPr>
    </w:p>
    <w:p>
      <w:pPr>
        <w:pStyle w:val="4"/>
        <w:tabs>
          <w:tab w:val="left" w:pos="1530"/>
        </w:tabs>
        <w:ind w:firstLine="137"/>
        <w:rPr>
          <w:rFonts w:ascii="宋体" w:eastAsia="宋体" w:cs="宋体"/>
          <w:i w:val="0"/>
          <w:iCs w:val="0"/>
          <w:kern w:val="0"/>
          <w:sz w:val="21"/>
          <w:szCs w:val="21"/>
          <w:highlight w:val="none"/>
        </w:rPr>
      </w:pPr>
      <w:r>
        <w:rPr>
          <w:rFonts w:ascii="宋体" w:eastAsia="宋体" w:cs="Arial"/>
          <w:i w:val="0"/>
          <w:iCs w:val="0"/>
          <w:kern w:val="0"/>
          <w:szCs w:val="21"/>
          <w:highlight w:val="none"/>
        </w:rPr>
        <w:br w:type="page"/>
      </w:r>
      <w:r>
        <w:rPr>
          <w:rFonts w:hint="eastAsia"/>
          <w:i w:val="0"/>
          <w:iCs w:val="0"/>
          <w:highlight w:val="none"/>
        </w:rPr>
        <w:t>（三）银行代发农民工工资承诺书</w:t>
      </w:r>
    </w:p>
    <w:p>
      <w:pPr>
        <w:widowControl/>
        <w:spacing w:line="440" w:lineRule="exact"/>
        <w:jc w:val="left"/>
        <w:rPr>
          <w:rFonts w:ascii="宋体" w:cs="Arial"/>
          <w:i w:val="0"/>
          <w:iCs w:val="0"/>
          <w:kern w:val="0"/>
          <w:szCs w:val="21"/>
          <w:highlight w:val="none"/>
          <w:u w:val="single"/>
        </w:rPr>
      </w:pPr>
    </w:p>
    <w:p>
      <w:pPr>
        <w:widowControl/>
        <w:spacing w:line="440" w:lineRule="exact"/>
        <w:jc w:val="left"/>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i w:val="0"/>
          <w:iCs w:val="0"/>
          <w:kern w:val="0"/>
          <w:sz w:val="21"/>
          <w:szCs w:val="21"/>
          <w:highlight w:val="none"/>
          <w:u w:val="single"/>
        </w:rPr>
        <w:t xml:space="preserve">         （招标人名称）</w:t>
      </w:r>
      <w:r>
        <w:rPr>
          <w:rFonts w:hint="eastAsia" w:ascii="仿宋_GB2312" w:hAnsi="仿宋_GB2312" w:eastAsia="仿宋_GB2312" w:cs="仿宋_GB2312"/>
          <w:i w:val="0"/>
          <w:iCs w:val="0"/>
          <w:kern w:val="0"/>
          <w:sz w:val="21"/>
          <w:szCs w:val="21"/>
          <w:highlight w:val="none"/>
        </w:rPr>
        <w:t>：</w:t>
      </w:r>
    </w:p>
    <w:p>
      <w:pPr>
        <w:widowControl/>
        <w:spacing w:line="440" w:lineRule="exact"/>
        <w:ind w:firstLine="420" w:firstLineChars="200"/>
        <w:jc w:val="left"/>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i w:val="0"/>
          <w:iCs w:val="0"/>
          <w:kern w:val="0"/>
          <w:sz w:val="21"/>
          <w:szCs w:val="21"/>
          <w:highlight w:val="none"/>
        </w:rPr>
        <w:t>我方在此承诺，若我方能够中标</w:t>
      </w:r>
      <w:r>
        <w:rPr>
          <w:rFonts w:hint="eastAsia" w:ascii="仿宋_GB2312" w:hAnsi="仿宋_GB2312" w:eastAsia="仿宋_GB2312" w:cs="仿宋_GB2312"/>
          <w:i w:val="0"/>
          <w:iCs w:val="0"/>
          <w:kern w:val="0"/>
          <w:sz w:val="21"/>
          <w:szCs w:val="21"/>
          <w:highlight w:val="none"/>
          <w:u w:val="single"/>
        </w:rPr>
        <w:t>                 （项目名称）         （标段名称）</w:t>
      </w:r>
      <w:r>
        <w:rPr>
          <w:rFonts w:hint="eastAsia" w:ascii="仿宋_GB2312" w:hAnsi="仿宋_GB2312" w:eastAsia="仿宋_GB2312" w:cs="仿宋_GB2312"/>
          <w:i w:val="0"/>
          <w:iCs w:val="0"/>
          <w:kern w:val="0"/>
          <w:sz w:val="21"/>
          <w:szCs w:val="21"/>
          <w:highlight w:val="none"/>
        </w:rPr>
        <w:t>（以下简称“本工程”），我方将严格按照西藏自治区农民工实名制管理和银行代发工资制度相关规定，在本工程合同期内认真落实农民工实名制管理和银行代发工资制度。若我方在本工程合同期内没有兑现承诺，自愿接受自治区相关行政处罚。</w:t>
      </w:r>
    </w:p>
    <w:p>
      <w:pPr>
        <w:widowControl/>
        <w:spacing w:line="440" w:lineRule="exact"/>
        <w:ind w:firstLine="420" w:firstLineChars="200"/>
        <w:jc w:val="left"/>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i w:val="0"/>
          <w:iCs w:val="0"/>
          <w:kern w:val="0"/>
          <w:sz w:val="21"/>
          <w:szCs w:val="21"/>
          <w:highlight w:val="none"/>
        </w:rPr>
        <w:t>特此承诺。</w:t>
      </w:r>
    </w:p>
    <w:p>
      <w:pPr>
        <w:widowControl/>
        <w:spacing w:line="440" w:lineRule="exact"/>
        <w:jc w:val="left"/>
        <w:rPr>
          <w:rFonts w:hint="eastAsia" w:ascii="仿宋_GB2312" w:hAnsi="仿宋_GB2312" w:eastAsia="仿宋_GB2312" w:cs="仿宋_GB2312"/>
          <w:i w:val="0"/>
          <w:iCs w:val="0"/>
          <w:kern w:val="0"/>
          <w:sz w:val="21"/>
          <w:szCs w:val="21"/>
          <w:highlight w:val="none"/>
        </w:rPr>
      </w:pPr>
    </w:p>
    <w:p>
      <w:pPr>
        <w:widowControl/>
        <w:spacing w:line="440" w:lineRule="exact"/>
        <w:jc w:val="left"/>
        <w:rPr>
          <w:rFonts w:hint="eastAsia" w:ascii="仿宋_GB2312" w:hAnsi="仿宋_GB2312" w:eastAsia="仿宋_GB2312" w:cs="仿宋_GB2312"/>
          <w:i w:val="0"/>
          <w:iCs w:val="0"/>
          <w:kern w:val="0"/>
          <w:sz w:val="21"/>
          <w:szCs w:val="21"/>
          <w:highlight w:val="none"/>
        </w:rPr>
      </w:pPr>
    </w:p>
    <w:p>
      <w:pPr>
        <w:widowControl/>
        <w:spacing w:line="440" w:lineRule="exact"/>
        <w:jc w:val="left"/>
        <w:rPr>
          <w:rFonts w:hint="eastAsia" w:ascii="仿宋_GB2312" w:hAnsi="仿宋_GB2312" w:eastAsia="仿宋_GB2312" w:cs="仿宋_GB2312"/>
          <w:i w:val="0"/>
          <w:iCs w:val="0"/>
          <w:kern w:val="0"/>
          <w:sz w:val="21"/>
          <w:szCs w:val="21"/>
          <w:highlight w:val="none"/>
        </w:rPr>
      </w:pPr>
    </w:p>
    <w:p>
      <w:pPr>
        <w:widowControl/>
        <w:spacing w:line="440" w:lineRule="exact"/>
        <w:ind w:firstLine="2730"/>
        <w:jc w:val="right"/>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i w:val="0"/>
          <w:iCs w:val="0"/>
          <w:kern w:val="0"/>
          <w:sz w:val="21"/>
          <w:szCs w:val="21"/>
          <w:highlight w:val="none"/>
        </w:rPr>
        <w:t>投标人：</w:t>
      </w:r>
      <w:r>
        <w:rPr>
          <w:rFonts w:hint="eastAsia" w:ascii="仿宋_GB2312" w:hAnsi="仿宋_GB2312" w:eastAsia="仿宋_GB2312" w:cs="仿宋_GB2312"/>
          <w:i w:val="0"/>
          <w:iCs w:val="0"/>
          <w:kern w:val="0"/>
          <w:sz w:val="21"/>
          <w:szCs w:val="21"/>
          <w:highlight w:val="none"/>
          <w:u w:val="single"/>
        </w:rPr>
        <w:t xml:space="preserve">        </w:t>
      </w:r>
      <w:r>
        <w:rPr>
          <w:rFonts w:hint="eastAsia" w:ascii="仿宋_GB2312" w:hAnsi="仿宋_GB2312" w:eastAsia="仿宋_GB2312" w:cs="仿宋_GB2312"/>
          <w:i w:val="0"/>
          <w:iCs w:val="0"/>
          <w:kern w:val="0"/>
          <w:sz w:val="21"/>
          <w:szCs w:val="21"/>
          <w:highlight w:val="none"/>
        </w:rPr>
        <w:t>（盖单位章）</w:t>
      </w:r>
    </w:p>
    <w:p>
      <w:pPr>
        <w:widowControl/>
        <w:spacing w:line="440" w:lineRule="exact"/>
        <w:ind w:firstLine="2730"/>
        <w:jc w:val="right"/>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i w:val="0"/>
          <w:iCs w:val="0"/>
          <w:kern w:val="0"/>
          <w:sz w:val="21"/>
          <w:szCs w:val="21"/>
          <w:highlight w:val="none"/>
        </w:rPr>
        <w:t>法定代表人：</w:t>
      </w:r>
      <w:r>
        <w:rPr>
          <w:rFonts w:hint="eastAsia" w:ascii="仿宋_GB2312" w:hAnsi="仿宋_GB2312" w:eastAsia="仿宋_GB2312" w:cs="仿宋_GB2312"/>
          <w:i w:val="0"/>
          <w:iCs w:val="0"/>
          <w:kern w:val="0"/>
          <w:sz w:val="21"/>
          <w:szCs w:val="21"/>
          <w:highlight w:val="none"/>
          <w:u w:val="single"/>
        </w:rPr>
        <w:t xml:space="preserve">        </w:t>
      </w:r>
      <w:r>
        <w:rPr>
          <w:rFonts w:hint="eastAsia" w:ascii="仿宋_GB2312" w:hAnsi="仿宋_GB2312" w:eastAsia="仿宋_GB2312" w:cs="仿宋_GB2312"/>
          <w:i w:val="0"/>
          <w:iCs w:val="0"/>
          <w:kern w:val="0"/>
          <w:sz w:val="21"/>
          <w:szCs w:val="21"/>
          <w:highlight w:val="none"/>
        </w:rPr>
        <w:t>（签字）</w:t>
      </w:r>
    </w:p>
    <w:p>
      <w:pPr>
        <w:widowControl/>
        <w:wordWrap w:val="0"/>
        <w:spacing w:line="440" w:lineRule="exact"/>
        <w:jc w:val="right"/>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i w:val="0"/>
          <w:iCs w:val="0"/>
          <w:kern w:val="0"/>
          <w:sz w:val="21"/>
          <w:szCs w:val="21"/>
          <w:highlight w:val="none"/>
        </w:rPr>
        <w:t xml:space="preserve">                      </w:t>
      </w:r>
      <w:r>
        <w:rPr>
          <w:rFonts w:hint="eastAsia" w:ascii="仿宋_GB2312" w:hAnsi="仿宋_GB2312" w:eastAsia="仿宋_GB2312" w:cs="仿宋_GB2312"/>
          <w:i w:val="0"/>
          <w:iCs w:val="0"/>
          <w:kern w:val="0"/>
          <w:sz w:val="21"/>
          <w:szCs w:val="21"/>
          <w:highlight w:val="none"/>
          <w:u w:val="single"/>
        </w:rPr>
        <w:t xml:space="preserve">        </w:t>
      </w:r>
      <w:r>
        <w:rPr>
          <w:rFonts w:hint="eastAsia" w:ascii="仿宋_GB2312" w:hAnsi="仿宋_GB2312" w:eastAsia="仿宋_GB2312" w:cs="仿宋_GB2312"/>
          <w:i w:val="0"/>
          <w:iCs w:val="0"/>
          <w:kern w:val="0"/>
          <w:sz w:val="21"/>
          <w:szCs w:val="21"/>
          <w:highlight w:val="none"/>
        </w:rPr>
        <w:t>年</w:t>
      </w:r>
      <w:r>
        <w:rPr>
          <w:rFonts w:hint="eastAsia" w:ascii="仿宋_GB2312" w:hAnsi="仿宋_GB2312" w:eastAsia="仿宋_GB2312" w:cs="仿宋_GB2312"/>
          <w:i w:val="0"/>
          <w:iCs w:val="0"/>
          <w:kern w:val="0"/>
          <w:sz w:val="21"/>
          <w:szCs w:val="21"/>
          <w:highlight w:val="none"/>
          <w:u w:val="single"/>
        </w:rPr>
        <w:t xml:space="preserve">    </w:t>
      </w:r>
      <w:r>
        <w:rPr>
          <w:rFonts w:hint="eastAsia" w:ascii="仿宋_GB2312" w:hAnsi="仿宋_GB2312" w:eastAsia="仿宋_GB2312" w:cs="仿宋_GB2312"/>
          <w:i w:val="0"/>
          <w:iCs w:val="0"/>
          <w:kern w:val="0"/>
          <w:sz w:val="21"/>
          <w:szCs w:val="21"/>
          <w:highlight w:val="none"/>
        </w:rPr>
        <w:t>月</w:t>
      </w:r>
      <w:r>
        <w:rPr>
          <w:rFonts w:hint="eastAsia" w:ascii="仿宋_GB2312" w:hAnsi="仿宋_GB2312" w:eastAsia="仿宋_GB2312" w:cs="仿宋_GB2312"/>
          <w:i w:val="0"/>
          <w:iCs w:val="0"/>
          <w:kern w:val="0"/>
          <w:sz w:val="21"/>
          <w:szCs w:val="21"/>
          <w:highlight w:val="none"/>
          <w:u w:val="single"/>
        </w:rPr>
        <w:t xml:space="preserve">    </w:t>
      </w:r>
      <w:r>
        <w:rPr>
          <w:rFonts w:hint="eastAsia" w:ascii="仿宋_GB2312" w:hAnsi="仿宋_GB2312" w:eastAsia="仿宋_GB2312" w:cs="仿宋_GB2312"/>
          <w:i w:val="0"/>
          <w:iCs w:val="0"/>
          <w:kern w:val="0"/>
          <w:sz w:val="21"/>
          <w:szCs w:val="21"/>
          <w:highlight w:val="none"/>
        </w:rPr>
        <w:t>日</w:t>
      </w:r>
    </w:p>
    <w:p>
      <w:pPr>
        <w:pStyle w:val="3"/>
        <w:jc w:val="center"/>
        <w:rPr>
          <w:i w:val="0"/>
          <w:iCs w:val="0"/>
          <w:highlight w:val="none"/>
        </w:rPr>
      </w:pPr>
      <w:r>
        <w:rPr>
          <w:rFonts w:hint="eastAsia" w:ascii="仿宋_GB2312" w:hAnsi="仿宋_GB2312" w:eastAsia="仿宋_GB2312" w:cs="仿宋_GB2312"/>
          <w:i w:val="0"/>
          <w:iCs w:val="0"/>
          <w:sz w:val="21"/>
          <w:szCs w:val="21"/>
          <w:highlight w:val="none"/>
        </w:rPr>
        <w:br w:type="page"/>
      </w:r>
      <w:bookmarkStart w:id="762" w:name="_Toc11892"/>
      <w:r>
        <w:rPr>
          <w:rFonts w:hint="eastAsia"/>
          <w:b w:val="0"/>
          <w:bCs w:val="0"/>
          <w:i w:val="0"/>
          <w:iCs w:val="0"/>
          <w:highlight w:val="none"/>
        </w:rPr>
        <w:t>八</w:t>
      </w:r>
      <w:r>
        <w:rPr>
          <w:b w:val="0"/>
          <w:bCs w:val="0"/>
          <w:i w:val="0"/>
          <w:iCs w:val="0"/>
          <w:highlight w:val="none"/>
        </w:rPr>
        <w:t>、其他资料</w:t>
      </w:r>
      <w:bookmarkEnd w:id="762"/>
    </w:p>
    <w:p>
      <w:pPr>
        <w:widowControl/>
        <w:spacing w:line="440" w:lineRule="exact"/>
        <w:ind w:firstLine="420" w:firstLineChars="200"/>
        <w:jc w:val="left"/>
        <w:rPr>
          <w:rFonts w:hint="eastAsia" w:ascii="仿宋_GB2312" w:hAnsi="仿宋_GB2312" w:eastAsia="仿宋_GB2312" w:cs="仿宋_GB2312"/>
          <w:i w:val="0"/>
          <w:iCs w:val="0"/>
          <w:kern w:val="0"/>
          <w:sz w:val="21"/>
          <w:szCs w:val="21"/>
          <w:highlight w:val="none"/>
        </w:rPr>
      </w:pPr>
      <w:r>
        <w:rPr>
          <w:rFonts w:hint="eastAsia" w:ascii="仿宋_GB2312" w:hAnsi="仿宋_GB2312" w:eastAsia="仿宋_GB2312" w:cs="仿宋_GB2312"/>
          <w:i w:val="0"/>
          <w:iCs w:val="0"/>
          <w:kern w:val="0"/>
          <w:sz w:val="21"/>
          <w:szCs w:val="21"/>
          <w:highlight w:val="none"/>
        </w:rPr>
        <w:t>获奖证书、信用等级网页截图等投标人认为需要的其他材料。</w:t>
      </w:r>
    </w:p>
    <w:p>
      <w:pPr>
        <w:jc w:val="center"/>
        <w:rPr>
          <w:rFonts w:hint="eastAsia"/>
          <w:i w:val="0"/>
          <w:iCs w:val="0"/>
          <w:highlight w:val="none"/>
        </w:rPr>
      </w:pPr>
      <w:r>
        <w:rPr>
          <w:rFonts w:hAnsi="宋体" w:cs="宋体"/>
          <w:i w:val="0"/>
          <w:iCs w:val="0"/>
          <w:kern w:val="0"/>
          <w:szCs w:val="21"/>
          <w:highlight w:val="none"/>
        </w:rPr>
        <w:br w:type="page"/>
      </w:r>
    </w:p>
    <w:p>
      <w:pPr>
        <w:jc w:val="center"/>
        <w:rPr>
          <w:rFonts w:hint="eastAsia"/>
          <w:i w:val="0"/>
          <w:iCs w:val="0"/>
          <w:highlight w:val="none"/>
        </w:rPr>
      </w:pPr>
    </w:p>
    <w:p>
      <w:pPr>
        <w:jc w:val="center"/>
        <w:rPr>
          <w:rFonts w:hint="eastAsia"/>
          <w:i w:val="0"/>
          <w:iCs w:val="0"/>
          <w:highlight w:val="none"/>
        </w:rPr>
      </w:pPr>
    </w:p>
    <w:p>
      <w:pPr>
        <w:jc w:val="center"/>
        <w:rPr>
          <w:rFonts w:eastAsia="黑体"/>
          <w:i w:val="0"/>
          <w:iCs w:val="0"/>
          <w:sz w:val="28"/>
          <w:szCs w:val="28"/>
          <w:highlight w:val="none"/>
        </w:rPr>
      </w:pPr>
      <w:r>
        <w:rPr>
          <w:rFonts w:hint="eastAsia" w:eastAsia="黑体"/>
          <w:i w:val="0"/>
          <w:iCs w:val="0"/>
          <w:sz w:val="28"/>
          <w:szCs w:val="28"/>
          <w:highlight w:val="none"/>
          <w:u w:val="single"/>
        </w:rPr>
        <w:t xml:space="preserve">            </w:t>
      </w:r>
      <w:r>
        <w:rPr>
          <w:rFonts w:eastAsia="黑体"/>
          <w:i w:val="0"/>
          <w:iCs w:val="0"/>
          <w:sz w:val="28"/>
          <w:szCs w:val="28"/>
          <w:highlight w:val="none"/>
        </w:rPr>
        <w:t>（项目名称）</w:t>
      </w:r>
      <w:r>
        <w:rPr>
          <w:rFonts w:hint="eastAsia" w:eastAsia="黑体"/>
          <w:i w:val="0"/>
          <w:iCs w:val="0"/>
          <w:sz w:val="28"/>
          <w:szCs w:val="28"/>
          <w:highlight w:val="none"/>
          <w:u w:val="single"/>
        </w:rPr>
        <w:t xml:space="preserve">           </w:t>
      </w:r>
      <w:r>
        <w:rPr>
          <w:rFonts w:eastAsia="黑体"/>
          <w:i w:val="0"/>
          <w:iCs w:val="0"/>
          <w:sz w:val="28"/>
          <w:szCs w:val="28"/>
          <w:highlight w:val="none"/>
        </w:rPr>
        <w:t>（</w:t>
      </w:r>
      <w:r>
        <w:rPr>
          <w:rFonts w:hint="eastAsia" w:eastAsia="黑体"/>
          <w:i w:val="0"/>
          <w:iCs w:val="0"/>
          <w:sz w:val="28"/>
          <w:szCs w:val="28"/>
          <w:highlight w:val="none"/>
          <w:lang w:val="en-US" w:eastAsia="zh-CN"/>
        </w:rPr>
        <w:t>标段</w:t>
      </w:r>
      <w:r>
        <w:rPr>
          <w:rFonts w:eastAsia="黑体"/>
          <w:i w:val="0"/>
          <w:iCs w:val="0"/>
          <w:sz w:val="28"/>
          <w:szCs w:val="28"/>
          <w:highlight w:val="none"/>
        </w:rPr>
        <w:t>名称）</w:t>
      </w:r>
    </w:p>
    <w:p>
      <w:pPr>
        <w:rPr>
          <w:rFonts w:eastAsia="黑体"/>
          <w:i w:val="0"/>
          <w:iCs w:val="0"/>
          <w:sz w:val="20"/>
          <w:szCs w:val="20"/>
          <w:highlight w:val="none"/>
        </w:rPr>
      </w:pPr>
    </w:p>
    <w:p>
      <w:pPr>
        <w:rPr>
          <w:rFonts w:eastAsia="黑体"/>
          <w:i w:val="0"/>
          <w:iCs w:val="0"/>
          <w:sz w:val="20"/>
          <w:szCs w:val="20"/>
          <w:highlight w:val="none"/>
        </w:rPr>
      </w:pPr>
    </w:p>
    <w:p>
      <w:pPr>
        <w:pStyle w:val="3"/>
        <w:spacing w:before="240" w:after="240"/>
        <w:jc w:val="center"/>
        <w:rPr>
          <w:rFonts w:hint="eastAsia" w:ascii="宋体" w:hAnsi="宋体" w:eastAsia="宋体"/>
          <w:i w:val="0"/>
          <w:iCs w:val="0"/>
          <w:sz w:val="36"/>
          <w:szCs w:val="36"/>
          <w:highlight w:val="none"/>
        </w:rPr>
      </w:pPr>
      <w:bookmarkStart w:id="763" w:name="_Toc10360"/>
      <w:r>
        <w:rPr>
          <w:rFonts w:ascii="宋体" w:hAnsi="宋体" w:eastAsia="宋体"/>
          <w:i w:val="0"/>
          <w:iCs w:val="0"/>
          <w:sz w:val="36"/>
          <w:szCs w:val="36"/>
          <w:highlight w:val="none"/>
        </w:rPr>
        <w:t>投标文件</w:t>
      </w:r>
      <w:r>
        <w:rPr>
          <w:rFonts w:hint="eastAsia" w:ascii="宋体" w:hAnsi="宋体" w:eastAsia="宋体"/>
          <w:i w:val="0"/>
          <w:iCs w:val="0"/>
          <w:sz w:val="36"/>
          <w:szCs w:val="36"/>
          <w:highlight w:val="none"/>
        </w:rPr>
        <w:t>（技术标）</w:t>
      </w:r>
      <w:bookmarkEnd w:id="763"/>
    </w:p>
    <w:p>
      <w:pPr>
        <w:jc w:val="center"/>
        <w:rPr>
          <w:rFonts w:hint="eastAsia" w:eastAsia="黑体"/>
          <w:i w:val="0"/>
          <w:iCs w:val="0"/>
          <w:sz w:val="44"/>
          <w:szCs w:val="44"/>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hint="eastAsia" w:eastAsia="黑体"/>
          <w:i w:val="0"/>
          <w:iCs w:val="0"/>
          <w:sz w:val="28"/>
          <w:szCs w:val="28"/>
          <w:highlight w:val="none"/>
        </w:rPr>
      </w:pPr>
    </w:p>
    <w:p>
      <w:pPr>
        <w:rPr>
          <w:rFonts w:eastAsia="黑体"/>
          <w:i w:val="0"/>
          <w:iCs w:val="0"/>
          <w:sz w:val="28"/>
          <w:szCs w:val="28"/>
          <w:highlight w:val="none"/>
        </w:rPr>
      </w:pPr>
    </w:p>
    <w:p>
      <w:pPr>
        <w:rPr>
          <w:rFonts w:eastAsia="黑体"/>
          <w:i w:val="0"/>
          <w:iCs w:val="0"/>
          <w:sz w:val="28"/>
          <w:szCs w:val="28"/>
          <w:highlight w:val="none"/>
        </w:rPr>
      </w:pPr>
    </w:p>
    <w:p>
      <w:pPr>
        <w:jc w:val="center"/>
        <w:rPr>
          <w:rFonts w:eastAsia="黑体"/>
          <w:i w:val="0"/>
          <w:iCs w:val="0"/>
          <w:sz w:val="28"/>
          <w:szCs w:val="28"/>
          <w:highlight w:val="none"/>
          <w:u w:val="single"/>
        </w:rPr>
      </w:pPr>
      <w:r>
        <w:rPr>
          <w:rFonts w:eastAsia="黑体"/>
          <w:i w:val="0"/>
          <w:iCs w:val="0"/>
          <w:sz w:val="28"/>
          <w:szCs w:val="28"/>
          <w:highlight w:val="none"/>
        </w:rPr>
        <w:t>投标人：</w:t>
      </w:r>
      <w:r>
        <w:rPr>
          <w:rFonts w:eastAsia="黑体"/>
          <w:i w:val="0"/>
          <w:iCs w:val="0"/>
          <w:sz w:val="28"/>
          <w:szCs w:val="28"/>
          <w:highlight w:val="none"/>
          <w:u w:val="single"/>
        </w:rPr>
        <w:t xml:space="preserve">                     </w:t>
      </w:r>
      <w:r>
        <w:rPr>
          <w:rFonts w:hint="eastAsia" w:eastAsia="黑体"/>
          <w:i w:val="0"/>
          <w:iCs w:val="0"/>
          <w:sz w:val="28"/>
          <w:szCs w:val="28"/>
          <w:highlight w:val="none"/>
          <w:u w:val="single"/>
        </w:rPr>
        <w:t xml:space="preserve">  </w:t>
      </w:r>
      <w:r>
        <w:rPr>
          <w:rFonts w:eastAsia="黑体"/>
          <w:i w:val="0"/>
          <w:iCs w:val="0"/>
          <w:sz w:val="28"/>
          <w:szCs w:val="28"/>
          <w:highlight w:val="none"/>
          <w:u w:val="single"/>
        </w:rPr>
        <w:t xml:space="preserve">       </w:t>
      </w:r>
      <w:r>
        <w:rPr>
          <w:rFonts w:eastAsia="黑体"/>
          <w:i w:val="0"/>
          <w:iCs w:val="0"/>
          <w:sz w:val="28"/>
          <w:szCs w:val="28"/>
          <w:highlight w:val="none"/>
        </w:rPr>
        <w:t>（盖单位章）</w:t>
      </w:r>
    </w:p>
    <w:p>
      <w:pPr>
        <w:jc w:val="center"/>
        <w:rPr>
          <w:rFonts w:eastAsia="黑体"/>
          <w:i w:val="0"/>
          <w:iCs w:val="0"/>
          <w:sz w:val="28"/>
          <w:szCs w:val="28"/>
          <w:highlight w:val="none"/>
        </w:rPr>
      </w:pPr>
      <w:r>
        <w:rPr>
          <w:rFonts w:eastAsia="黑体"/>
          <w:i w:val="0"/>
          <w:iCs w:val="0"/>
          <w:sz w:val="28"/>
          <w:szCs w:val="28"/>
          <w:highlight w:val="none"/>
          <w:u w:val="single"/>
        </w:rPr>
        <w:t xml:space="preserve">        </w:t>
      </w:r>
      <w:r>
        <w:rPr>
          <w:rFonts w:eastAsia="黑体"/>
          <w:i w:val="0"/>
          <w:iCs w:val="0"/>
          <w:sz w:val="28"/>
          <w:szCs w:val="28"/>
          <w:highlight w:val="none"/>
        </w:rPr>
        <w:t>年</w:t>
      </w:r>
      <w:r>
        <w:rPr>
          <w:rFonts w:eastAsia="黑体"/>
          <w:i w:val="0"/>
          <w:iCs w:val="0"/>
          <w:sz w:val="28"/>
          <w:szCs w:val="28"/>
          <w:highlight w:val="none"/>
          <w:u w:val="single"/>
        </w:rPr>
        <w:t xml:space="preserve">        </w:t>
      </w:r>
      <w:r>
        <w:rPr>
          <w:rFonts w:eastAsia="黑体"/>
          <w:i w:val="0"/>
          <w:iCs w:val="0"/>
          <w:sz w:val="28"/>
          <w:szCs w:val="28"/>
          <w:highlight w:val="none"/>
        </w:rPr>
        <w:t>月</w:t>
      </w:r>
      <w:r>
        <w:rPr>
          <w:rFonts w:eastAsia="黑体"/>
          <w:i w:val="0"/>
          <w:iCs w:val="0"/>
          <w:sz w:val="28"/>
          <w:szCs w:val="28"/>
          <w:highlight w:val="none"/>
          <w:u w:val="single"/>
        </w:rPr>
        <w:t xml:space="preserve">         </w:t>
      </w:r>
      <w:r>
        <w:rPr>
          <w:rFonts w:eastAsia="黑体"/>
          <w:i w:val="0"/>
          <w:iCs w:val="0"/>
          <w:sz w:val="28"/>
          <w:szCs w:val="28"/>
          <w:highlight w:val="none"/>
        </w:rPr>
        <w:t>日</w:t>
      </w:r>
    </w:p>
    <w:p>
      <w:pPr>
        <w:spacing w:line="440" w:lineRule="exact"/>
        <w:rPr>
          <w:rFonts w:eastAsia="黑体"/>
          <w:i w:val="0"/>
          <w:iCs w:val="0"/>
          <w:sz w:val="20"/>
          <w:szCs w:val="20"/>
          <w:highlight w:val="none"/>
        </w:rPr>
      </w:pPr>
    </w:p>
    <w:p>
      <w:pPr>
        <w:pStyle w:val="3"/>
        <w:jc w:val="center"/>
        <w:rPr>
          <w:b w:val="0"/>
          <w:i w:val="0"/>
          <w:iCs w:val="0"/>
          <w:highlight w:val="none"/>
        </w:rPr>
      </w:pPr>
      <w:r>
        <w:rPr>
          <w:i w:val="0"/>
          <w:iCs w:val="0"/>
          <w:highlight w:val="none"/>
        </w:rPr>
        <w:br w:type="page"/>
      </w:r>
      <w:bookmarkStart w:id="764" w:name="_Toc26322"/>
      <w:r>
        <w:rPr>
          <w:rFonts w:hint="eastAsia" w:ascii="仿宋" w:hAnsi="仿宋" w:eastAsia="仿宋"/>
          <w:b w:val="0"/>
          <w:i w:val="0"/>
          <w:iCs w:val="0"/>
          <w:sz w:val="28"/>
          <w:szCs w:val="28"/>
          <w:highlight w:val="none"/>
        </w:rPr>
        <w:t>一</w:t>
      </w:r>
      <w:r>
        <w:rPr>
          <w:rFonts w:ascii="仿宋" w:hAnsi="仿宋" w:eastAsia="仿宋"/>
          <w:b w:val="0"/>
          <w:i w:val="0"/>
          <w:iCs w:val="0"/>
          <w:sz w:val="28"/>
          <w:szCs w:val="28"/>
          <w:highlight w:val="none"/>
        </w:rPr>
        <w:t>、</w:t>
      </w:r>
      <w:r>
        <w:rPr>
          <w:rFonts w:hint="eastAsia" w:ascii="仿宋" w:hAnsi="仿宋" w:eastAsia="仿宋"/>
          <w:b w:val="0"/>
          <w:i w:val="0"/>
          <w:iCs w:val="0"/>
          <w:sz w:val="28"/>
          <w:szCs w:val="28"/>
          <w:highlight w:val="none"/>
        </w:rPr>
        <w:t>承包人项目</w:t>
      </w:r>
      <w:r>
        <w:rPr>
          <w:rFonts w:ascii="仿宋" w:hAnsi="仿宋" w:eastAsia="仿宋"/>
          <w:b w:val="0"/>
          <w:i w:val="0"/>
          <w:iCs w:val="0"/>
          <w:sz w:val="28"/>
          <w:szCs w:val="28"/>
          <w:highlight w:val="none"/>
        </w:rPr>
        <w:t>管理</w:t>
      </w:r>
      <w:r>
        <w:rPr>
          <w:rFonts w:hint="eastAsia" w:ascii="仿宋" w:hAnsi="仿宋" w:eastAsia="仿宋"/>
          <w:b w:val="0"/>
          <w:i w:val="0"/>
          <w:iCs w:val="0"/>
          <w:sz w:val="28"/>
          <w:szCs w:val="28"/>
          <w:highlight w:val="none"/>
        </w:rPr>
        <w:t>实施计划</w:t>
      </w:r>
      <w:bookmarkEnd w:id="764"/>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（一）概述</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 项目简要介绍。</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 项目范围。</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 项目特点。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（二）总体项目管理实施方案</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 项目目标（质量、工期、造价）。</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 项目管理实施组织形式。</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 项目阶段划分。</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 项目工作分解结构。</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 对项目各阶段工作及文件的要求。</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 项目分包和采购计划。</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 项目沟通与协调程序。</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（三）项目管理实施要点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（四）项目管理要点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 合同管理要点。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2. 资源管理要点。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3. 质量控制要点。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4. 进度控制要点。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5. 费用估算及控制要点。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6. 安全管理要点。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7. 职业健康管理要点。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8．环境管理要点。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9. 沟通和协调管理要点。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10. 财务管理要点。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11. 风险管理要点。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12. 文件及信息管理要点。</w:t>
      </w:r>
    </w:p>
    <w:p>
      <w:pPr>
        <w:spacing w:line="400" w:lineRule="exact"/>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13. 报告制度。</w:t>
      </w:r>
    </w:p>
    <w:p>
      <w:pPr>
        <w:spacing w:line="400" w:lineRule="exact"/>
        <w:rPr>
          <w:rFonts w:hint="eastAsia" w:ascii="仿宋_GB2312" w:hAnsi="仿宋_GB2312" w:eastAsia="仿宋_GB2312" w:cs="仿宋_GB2312"/>
          <w:i w:val="0"/>
          <w:iCs w:val="0"/>
          <w:szCs w:val="21"/>
          <w:highlight w:val="none"/>
        </w:rPr>
      </w:pPr>
    </w:p>
    <w:p>
      <w:pPr>
        <w:spacing w:line="400" w:lineRule="exact"/>
        <w:rPr>
          <w:i w:val="0"/>
          <w:iCs w:val="0"/>
          <w:highlight w:val="none"/>
        </w:rPr>
      </w:pPr>
      <w:r>
        <w:rPr>
          <w:rFonts w:hint="eastAsia" w:ascii="仿宋_GB2312" w:hAnsi="仿宋_GB2312" w:eastAsia="仿宋_GB2312" w:cs="仿宋_GB2312"/>
          <w:i w:val="0"/>
          <w:iCs w:val="0"/>
          <w:szCs w:val="21"/>
          <w:highlight w:val="none"/>
        </w:rPr>
        <w:t>说明：发包人认为上述内容应列入承包人建议书的，应在“投标文件格式”中“承包人建议书”中载明。</w:t>
      </w:r>
    </w:p>
    <w:sectPr>
      <w:footerReference r:id="rId7" w:type="default"/>
      <w:pgSz w:w="11906" w:h="16838"/>
      <w:pgMar w:top="1417" w:right="1418" w:bottom="1417" w:left="1418" w:header="851" w:footer="1531" w:gutter="0"/>
      <w:pgBorders>
        <w:top w:val="none" w:sz="0" w:space="0"/>
        <w:left w:val="none" w:sz="0" w:space="0"/>
        <w:bottom w:val="none" w:sz="0" w:space="0"/>
        <w:right w:val="none" w:sz="0" w:space="0"/>
      </w:pgBorders>
      <w:pgNumType w:start="1"/>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CG Times">
    <w:altName w:val="DejaVu Sans"/>
    <w:panose1 w:val="02020603050405020304"/>
    <w:charset w:val="00"/>
    <w:family w:val="roman"/>
    <w:pitch w:val="default"/>
    <w:sig w:usb0="00000000" w:usb1="00000000" w:usb2="00000000"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Times">
    <w:altName w:val="DejaVu Sans"/>
    <w:panose1 w:val="02020603050405020304"/>
    <w:charset w:val="00"/>
    <w:family w:val="roman"/>
    <w:pitch w:val="default"/>
    <w:sig w:usb0="00000000" w:usb1="00000000" w:usb2="00000000" w:usb3="00000000" w:csb0="00040001" w:csb1="00000000"/>
  </w:font>
  <w:font w:name="华文细黑">
    <w:altName w:val="汉仪中等线简"/>
    <w:panose1 w:val="02010600040101010101"/>
    <w:charset w:val="00"/>
    <w:family w:val="auto"/>
    <w:pitch w:val="default"/>
    <w:sig w:usb0="00000000" w:usb1="00000000" w:usb2="00000000" w:usb3="00000000" w:csb0="0004009F" w:csb1="DFD70000"/>
  </w:font>
  <w:font w:name="方正黑体简体">
    <w:altName w:val="方正黑体_GBK"/>
    <w:panose1 w:val="02010601030101010101"/>
    <w:charset w:val="00"/>
    <w:family w:val="auto"/>
    <w:pitch w:val="default"/>
    <w:sig w:usb0="00000000" w:usb1="00000000" w:usb2="00000000" w:usb3="00000000" w:csb0="00040000" w:csb1="00000000"/>
  </w:font>
  <w:font w:name="_x000B__x000C_">
    <w:altName w:val="DejaVu Math TeX Gyre"/>
    <w:panose1 w:val="00000000000000000000"/>
    <w:charset w:val="00"/>
    <w:family w:val="roman"/>
    <w:pitch w:val="default"/>
    <w:sig w:usb0="00000000" w:usb1="00000000" w:usb2="00000000" w:usb3="00000000" w:csb0="00000001" w:csb1="00000000"/>
  </w:font>
  <w:font w:name="仿宋">
    <w:altName w:val="方正仿宋_GBK"/>
    <w:panose1 w:val="02010609060101010101"/>
    <w:charset w:val="00"/>
    <w:family w:val="modern"/>
    <w:pitch w:val="default"/>
    <w:sig w:usb0="00000000" w:usb1="00000000" w:usb2="00000016" w:usb3="00000000" w:csb0="00040001" w:csb1="00000000"/>
  </w:font>
  <w:font w:name="楷体">
    <w:altName w:val="方正楷体_GBK"/>
    <w:panose1 w:val="02010609060101010101"/>
    <w:charset w:val="00"/>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H-SS9-PK74820000032-Identity-H">
    <w:altName w:val="汉仪仿宋S"/>
    <w:panose1 w:val="00000000000000000000"/>
    <w:charset w:val="00"/>
    <w:family w:val="auto"/>
    <w:pitch w:val="default"/>
    <w:sig w:usb0="00000000" w:usb1="00000000" w:usb2="00000010" w:usb3="00000000" w:csb0="00040000" w:csb1="00000000"/>
  </w:font>
  <w:font w:name="SSJ-PK7482000002d-Identity-H">
    <w:altName w:val="汉仪仿宋S"/>
    <w:panose1 w:val="00000000000000000000"/>
    <w:charset w:val="00"/>
    <w:family w:val="auto"/>
    <w:pitch w:val="default"/>
    <w:sig w:usb0="00000000" w:usb1="00000000" w:usb2="00000010" w:usb3="00000000" w:csb0="00040000" w:csb1="00000000"/>
  </w:font>
  <w:font w:name="@O9-PK7484ba-Identity-H">
    <w:altName w:val="汉仪仿宋S"/>
    <w:panose1 w:val="00000000000000000000"/>
    <w:charset w:val="00"/>
    <w:family w:val="auto"/>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 w:name="Noto Sans Syriac Eastern">
    <w:panose1 w:val="02040503050306020203"/>
    <w:charset w:val="86"/>
    <w:family w:val="auto"/>
    <w:pitch w:val="default"/>
    <w:sig w:usb0="00000000" w:usb1="00000000" w:usb2="00000080" w:usb3="00000000" w:csb0="203E0161" w:csb1="D7FF0000"/>
  </w:font>
  <w:font w:name="汉仪中等线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00" w:lineRule="exact"/>
    </w:pPr>
  </w:p>
  <w:p/>
  <w:p/>
  <w:p/>
  <w:p/>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rFonts w:hint="eastAsia"/>
      </w:rPr>
    </w:pPr>
  </w:p>
  <w:p/>
  <w:p>
    <w:pPr>
      <w:pStyle w:val="25"/>
    </w:pP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Pr>
      <w:pStyle w:val="25"/>
      <w:framePr w:wrap="around" w:vAnchor="text" w:hAnchor="page" w:x="5785" w:y="12"/>
      <w:rPr>
        <w:rStyle w:val="45"/>
      </w:rPr>
    </w:pPr>
    <w:r>
      <w:fldChar w:fldCharType="begin"/>
    </w:r>
    <w:r>
      <w:rPr>
        <w:rStyle w:val="45"/>
      </w:rPr>
      <w:instrText xml:space="preserve">PAGE  </w:instrText>
    </w:r>
    <w:r>
      <w:fldChar w:fldCharType="separate"/>
    </w:r>
    <w:r>
      <w:rPr>
        <w:rStyle w:val="45"/>
      </w:rPr>
      <w:t>9</w:t>
    </w:r>
    <w:r>
      <w:fldChar w:fldCharType="end"/>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043ECC"/>
    <w:multiLevelType w:val="singleLevel"/>
    <w:tmpl w:val="A8043ECC"/>
    <w:lvl w:ilvl="0" w:tentative="0">
      <w:start w:val="1"/>
      <w:numFmt w:val="decimal"/>
      <w:suff w:val="nothing"/>
      <w:lvlText w:val="（%1）"/>
      <w:lvlJc w:val="left"/>
    </w:lvl>
  </w:abstractNum>
  <w:abstractNum w:abstractNumId="1">
    <w:nsid w:val="0D8C6054"/>
    <w:multiLevelType w:val="multilevel"/>
    <w:tmpl w:val="0D8C6054"/>
    <w:lvl w:ilvl="0" w:tentative="0">
      <w:start w:val="1"/>
      <w:numFmt w:val="decimal"/>
      <w:pStyle w:val="139"/>
      <w:lvlText w:val="%1."/>
      <w:lvlJc w:val="left"/>
      <w:pPr>
        <w:ind w:left="78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decimal"/>
      <w:lvlText w:val="%2)"/>
      <w:lvlJc w:val="left"/>
      <w:pPr>
        <w:ind w:left="1200" w:hanging="36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229734FF"/>
    <w:multiLevelType w:val="multilevel"/>
    <w:tmpl w:val="229734FF"/>
    <w:lvl w:ilvl="0" w:tentative="0">
      <w:start w:val="1"/>
      <w:numFmt w:val="decimal"/>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3">
    <w:nsid w:val="22BA7DD4"/>
    <w:multiLevelType w:val="multilevel"/>
    <w:tmpl w:val="22BA7DD4"/>
    <w:lvl w:ilvl="0" w:tentative="0">
      <w:start w:val="1"/>
      <w:numFmt w:val="bullet"/>
      <w:lvlText w:val="□"/>
      <w:lvlJc w:val="left"/>
      <w:pPr>
        <w:tabs>
          <w:tab w:val="left" w:pos="360"/>
        </w:tabs>
        <w:ind w:left="360" w:hanging="360"/>
      </w:pPr>
      <w:rPr>
        <w:rFonts w:hint="eastAsia" w:ascii="Arial" w:hAnsi="Arial" w:eastAsia="Arial" w:cs="Calibri"/>
      </w:rPr>
    </w:lvl>
    <w:lvl w:ilvl="1" w:tentative="0">
      <w:start w:val="1"/>
      <w:numFmt w:val="decimal"/>
      <w:pStyle w:val="101"/>
      <w:lvlText w:val="%2."/>
      <w:lvlJc w:val="left"/>
      <w:pPr>
        <w:tabs>
          <w:tab w:val="left" w:pos="840"/>
        </w:tabs>
        <w:ind w:left="840" w:hanging="420"/>
      </w:pPr>
      <w:rPr>
        <w:rFonts w:hint="eastAsia"/>
      </w:rPr>
    </w:lvl>
    <w:lvl w:ilvl="2" w:tentative="0">
      <w:start w:val="1"/>
      <w:numFmt w:val="bullet"/>
      <w:lvlText w:val=""/>
      <w:lvlJc w:val="left"/>
      <w:pPr>
        <w:tabs>
          <w:tab w:val="left" w:pos="1260"/>
        </w:tabs>
        <w:ind w:left="1260" w:hanging="420"/>
      </w:pPr>
      <w:rPr>
        <w:rFonts w:hint="default" w:ascii="Cambria" w:hAnsi="Cambria"/>
      </w:rPr>
    </w:lvl>
    <w:lvl w:ilvl="3" w:tentative="0">
      <w:start w:val="1"/>
      <w:numFmt w:val="bullet"/>
      <w:pStyle w:val="122"/>
      <w:lvlText w:val=""/>
      <w:lvlJc w:val="left"/>
      <w:pPr>
        <w:tabs>
          <w:tab w:val="left" w:pos="1680"/>
        </w:tabs>
        <w:ind w:left="1680" w:hanging="420"/>
      </w:pPr>
      <w:rPr>
        <w:rFonts w:hint="default" w:ascii="Cambria" w:hAnsi="Cambria"/>
      </w:rPr>
    </w:lvl>
    <w:lvl w:ilvl="4" w:tentative="0">
      <w:start w:val="1"/>
      <w:numFmt w:val="bullet"/>
      <w:lvlText w:val=""/>
      <w:lvlJc w:val="left"/>
      <w:pPr>
        <w:tabs>
          <w:tab w:val="left" w:pos="2100"/>
        </w:tabs>
        <w:ind w:left="2100" w:hanging="420"/>
      </w:pPr>
      <w:rPr>
        <w:rFonts w:hint="default" w:ascii="Cambria" w:hAnsi="Cambria"/>
      </w:rPr>
    </w:lvl>
    <w:lvl w:ilvl="5" w:tentative="0">
      <w:start w:val="1"/>
      <w:numFmt w:val="bullet"/>
      <w:lvlText w:val=""/>
      <w:lvlJc w:val="left"/>
      <w:pPr>
        <w:tabs>
          <w:tab w:val="left" w:pos="2520"/>
        </w:tabs>
        <w:ind w:left="2520" w:hanging="420"/>
      </w:pPr>
      <w:rPr>
        <w:rFonts w:hint="default" w:ascii="Cambria" w:hAnsi="Cambria"/>
      </w:rPr>
    </w:lvl>
    <w:lvl w:ilvl="6" w:tentative="0">
      <w:start w:val="1"/>
      <w:numFmt w:val="bullet"/>
      <w:lvlText w:val=""/>
      <w:lvlJc w:val="left"/>
      <w:pPr>
        <w:tabs>
          <w:tab w:val="left" w:pos="2940"/>
        </w:tabs>
        <w:ind w:left="2940" w:hanging="420"/>
      </w:pPr>
      <w:rPr>
        <w:rFonts w:hint="default" w:ascii="Cambria" w:hAnsi="Cambria"/>
      </w:rPr>
    </w:lvl>
    <w:lvl w:ilvl="7" w:tentative="0">
      <w:start w:val="1"/>
      <w:numFmt w:val="bullet"/>
      <w:lvlText w:val=""/>
      <w:lvlJc w:val="left"/>
      <w:pPr>
        <w:tabs>
          <w:tab w:val="left" w:pos="3360"/>
        </w:tabs>
        <w:ind w:left="3360" w:hanging="420"/>
      </w:pPr>
      <w:rPr>
        <w:rFonts w:hint="default" w:ascii="Cambria" w:hAnsi="Cambria"/>
      </w:rPr>
    </w:lvl>
    <w:lvl w:ilvl="8" w:tentative="0">
      <w:start w:val="1"/>
      <w:numFmt w:val="bullet"/>
      <w:lvlText w:val=""/>
      <w:lvlJc w:val="left"/>
      <w:pPr>
        <w:tabs>
          <w:tab w:val="left" w:pos="3780"/>
        </w:tabs>
        <w:ind w:left="3780" w:hanging="420"/>
      </w:pPr>
      <w:rPr>
        <w:rFonts w:hint="default" w:ascii="Cambria" w:hAnsi="Cambria"/>
      </w:rPr>
    </w:lvl>
  </w:abstractNum>
  <w:abstractNum w:abstractNumId="4">
    <w:nsid w:val="28D9536E"/>
    <w:multiLevelType w:val="multilevel"/>
    <w:tmpl w:val="28D9536E"/>
    <w:lvl w:ilvl="0" w:tentative="0">
      <w:start w:val="1"/>
      <w:numFmt w:val="upperLetter"/>
      <w:lvlText w:val="(%1)"/>
      <w:lvlJc w:val="left"/>
      <w:pPr>
        <w:tabs>
          <w:tab w:val="left" w:pos="624"/>
        </w:tabs>
        <w:ind w:left="624" w:hanging="624"/>
      </w:pPr>
    </w:lvl>
    <w:lvl w:ilvl="1" w:tentative="0">
      <w:start w:val="1"/>
      <w:numFmt w:val="upperLetter"/>
      <w:pStyle w:val="145"/>
      <w:lvlText w:val="(%2)"/>
      <w:lvlJc w:val="left"/>
      <w:pPr>
        <w:tabs>
          <w:tab w:val="left" w:pos="1417"/>
        </w:tabs>
        <w:ind w:left="1417" w:hanging="793"/>
      </w:pPr>
    </w:lvl>
    <w:lvl w:ilvl="2" w:tentative="0">
      <w:start w:val="1"/>
      <w:numFmt w:val="upperLetter"/>
      <w:pStyle w:val="133"/>
      <w:lvlText w:val="(%3)"/>
      <w:lvlJc w:val="left"/>
      <w:pPr>
        <w:tabs>
          <w:tab w:val="left" w:pos="1928"/>
        </w:tabs>
        <w:ind w:left="1928" w:hanging="511"/>
      </w:pPr>
    </w:lvl>
    <w:lvl w:ilvl="3" w:tentative="0">
      <w:start w:val="1"/>
      <w:numFmt w:val="lowerLetter"/>
      <w:lvlText w:val="(%4)"/>
      <w:lvlJc w:val="left"/>
      <w:pPr>
        <w:tabs>
          <w:tab w:val="left" w:pos="1928"/>
        </w:tabs>
        <w:ind w:left="1928" w:hanging="511"/>
      </w:pPr>
    </w:lvl>
    <w:lvl w:ilvl="4" w:tentative="0">
      <w:start w:val="1"/>
      <w:numFmt w:val="lowerRoman"/>
      <w:lvlText w:val="(%5)"/>
      <w:lvlJc w:val="left"/>
      <w:pPr>
        <w:tabs>
          <w:tab w:val="left" w:pos="2438"/>
        </w:tabs>
        <w:ind w:left="2438" w:hanging="510"/>
      </w:pPr>
    </w:lvl>
    <w:lvl w:ilvl="5" w:tentative="0">
      <w:start w:val="1"/>
      <w:numFmt w:val="decimal"/>
      <w:lvlText w:val="(%6)"/>
      <w:lvlJc w:val="left"/>
      <w:pPr>
        <w:tabs>
          <w:tab w:val="left" w:pos="2948"/>
        </w:tabs>
        <w:ind w:left="2948" w:hanging="51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decimal"/>
      <w:lvlRestart w:val="0"/>
      <w:lvlText w:val="SCHEDULE %9"/>
      <w:lvlJc w:val="left"/>
      <w:pPr>
        <w:tabs>
          <w:tab w:val="left" w:pos="0"/>
        </w:tabs>
        <w:ind w:left="0" w:firstLine="0"/>
      </w:pPr>
    </w:lvl>
  </w:abstractNum>
  <w:abstractNum w:abstractNumId="5">
    <w:nsid w:val="301F5202"/>
    <w:multiLevelType w:val="multilevel"/>
    <w:tmpl w:val="301F5202"/>
    <w:lvl w:ilvl="0" w:tentative="0">
      <w:start w:val="1"/>
      <w:numFmt w:val="decimal"/>
      <w:pStyle w:val="124"/>
      <w:lvlText w:val="第%1条"/>
      <w:lvlJc w:val="left"/>
      <w:pPr>
        <w:ind w:left="851" w:firstLine="0"/>
      </w:pPr>
    </w:lvl>
    <w:lvl w:ilvl="1" w:tentative="0">
      <w:start w:val="1"/>
      <w:numFmt w:val="decimal"/>
      <w:lvlText w:val="%1.%2"/>
      <w:lvlJc w:val="left"/>
      <w:pPr>
        <w:ind w:left="991" w:hanging="567"/>
      </w:pPr>
    </w:lvl>
    <w:lvl w:ilvl="2" w:tentative="0">
      <w:start w:val="1"/>
      <w:numFmt w:val="decimal"/>
      <w:lvlText w:val="%1.%2.%3"/>
      <w:lvlJc w:val="left"/>
      <w:pPr>
        <w:ind w:left="2835" w:hanging="567"/>
      </w:pPr>
    </w:lvl>
    <w:lvl w:ilvl="3" w:tentative="0">
      <w:start w:val="1"/>
      <w:numFmt w:val="decimal"/>
      <w:lvlText w:val="%1.%2.%3.%4"/>
      <w:lvlJc w:val="left"/>
      <w:pPr>
        <w:ind w:left="1983" w:hanging="708"/>
      </w:pPr>
    </w:lvl>
    <w:lvl w:ilvl="4" w:tentative="0">
      <w:start w:val="1"/>
      <w:numFmt w:val="decimal"/>
      <w:lvlText w:val="%1.%2.%3.%4.%5"/>
      <w:lvlJc w:val="left"/>
      <w:pPr>
        <w:ind w:left="2550" w:hanging="850"/>
      </w:pPr>
    </w:lvl>
    <w:lvl w:ilvl="5" w:tentative="0">
      <w:start w:val="1"/>
      <w:numFmt w:val="decimal"/>
      <w:lvlText w:val="%1.%2.%3.%4.%5.%6"/>
      <w:lvlJc w:val="left"/>
      <w:pPr>
        <w:ind w:left="3259" w:hanging="1134"/>
      </w:pPr>
    </w:lvl>
    <w:lvl w:ilvl="6" w:tentative="0">
      <w:start w:val="1"/>
      <w:numFmt w:val="decimal"/>
      <w:lvlText w:val="%1.%2.%3.%4.%5.%6.%7"/>
      <w:lvlJc w:val="left"/>
      <w:pPr>
        <w:ind w:left="3826" w:hanging="1276"/>
      </w:pPr>
    </w:lvl>
    <w:lvl w:ilvl="7" w:tentative="0">
      <w:start w:val="1"/>
      <w:numFmt w:val="decimal"/>
      <w:lvlText w:val="%1.%2.%3.%4.%5.%6.%7.%8"/>
      <w:lvlJc w:val="left"/>
      <w:pPr>
        <w:ind w:left="4393" w:hanging="1418"/>
      </w:pPr>
    </w:lvl>
    <w:lvl w:ilvl="8" w:tentative="0">
      <w:start w:val="1"/>
      <w:numFmt w:val="decimal"/>
      <w:lvlText w:val="%1.%2.%3.%4.%5.%6.%7.%8.%9"/>
      <w:lvlJc w:val="left"/>
      <w:pPr>
        <w:ind w:left="5101" w:hanging="1700"/>
      </w:pPr>
    </w:lvl>
  </w:abstractNum>
  <w:abstractNum w:abstractNumId="6">
    <w:nsid w:val="61BD6C99"/>
    <w:multiLevelType w:val="multilevel"/>
    <w:tmpl w:val="61BD6C99"/>
    <w:lvl w:ilvl="0" w:tentative="0">
      <w:start w:val="1"/>
      <w:numFmt w:val="lowerRoman"/>
      <w:pStyle w:val="132"/>
      <w:lvlText w:val="(%1)"/>
      <w:lvlJc w:val="left"/>
      <w:pPr>
        <w:ind w:left="1560" w:hanging="7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pStyle w:val="110"/>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7">
    <w:nsid w:val="62687BB6"/>
    <w:multiLevelType w:val="multilevel"/>
    <w:tmpl w:val="62687BB6"/>
    <w:lvl w:ilvl="0" w:tentative="0">
      <w:start w:val="1"/>
      <w:numFmt w:val="decimal"/>
      <w:pStyle w:val="111"/>
      <w:lvlText w:val="附件%1"/>
      <w:lvlJc w:val="left"/>
      <w:pPr>
        <w:ind w:left="3681" w:hanging="420"/>
      </w:pPr>
      <w:rPr>
        <w:sz w:val="30"/>
        <w:szCs w:val="30"/>
      </w:rPr>
    </w:lvl>
    <w:lvl w:ilvl="1" w:tentative="0">
      <w:start w:val="1"/>
      <w:numFmt w:val="lowerLetter"/>
      <w:pStyle w:val="104"/>
      <w:lvlText w:val="%2)"/>
      <w:lvlJc w:val="left"/>
      <w:pPr>
        <w:ind w:left="983" w:hanging="420"/>
      </w:pPr>
    </w:lvl>
    <w:lvl w:ilvl="2" w:tentative="0">
      <w:start w:val="1"/>
      <w:numFmt w:val="lowerRoman"/>
      <w:pStyle w:val="105"/>
      <w:lvlText w:val="%3."/>
      <w:lvlJc w:val="right"/>
      <w:pPr>
        <w:ind w:left="1403" w:hanging="420"/>
      </w:pPr>
    </w:lvl>
    <w:lvl w:ilvl="3" w:tentative="0">
      <w:start w:val="1"/>
      <w:numFmt w:val="decimal"/>
      <w:lvlText w:val="%4."/>
      <w:lvlJc w:val="left"/>
      <w:pPr>
        <w:ind w:left="1823" w:hanging="420"/>
      </w:pPr>
    </w:lvl>
    <w:lvl w:ilvl="4" w:tentative="0">
      <w:start w:val="1"/>
      <w:numFmt w:val="lowerLetter"/>
      <w:lvlText w:val="%5)"/>
      <w:lvlJc w:val="left"/>
      <w:pPr>
        <w:ind w:left="2243" w:hanging="420"/>
      </w:pPr>
    </w:lvl>
    <w:lvl w:ilvl="5" w:tentative="0">
      <w:start w:val="1"/>
      <w:numFmt w:val="lowerRoman"/>
      <w:lvlText w:val="%6."/>
      <w:lvlJc w:val="right"/>
      <w:pPr>
        <w:ind w:left="2663" w:hanging="420"/>
      </w:pPr>
    </w:lvl>
    <w:lvl w:ilvl="6" w:tentative="0">
      <w:start w:val="1"/>
      <w:numFmt w:val="decimal"/>
      <w:lvlText w:val="%7."/>
      <w:lvlJc w:val="left"/>
      <w:pPr>
        <w:ind w:left="3083" w:hanging="420"/>
      </w:pPr>
    </w:lvl>
    <w:lvl w:ilvl="7" w:tentative="0">
      <w:start w:val="1"/>
      <w:numFmt w:val="lowerLetter"/>
      <w:lvlText w:val="%8)"/>
      <w:lvlJc w:val="left"/>
      <w:pPr>
        <w:ind w:left="3503" w:hanging="420"/>
      </w:pPr>
    </w:lvl>
    <w:lvl w:ilvl="8" w:tentative="0">
      <w:start w:val="1"/>
      <w:numFmt w:val="lowerRoman"/>
      <w:lvlText w:val="%9."/>
      <w:lvlJc w:val="right"/>
      <w:pPr>
        <w:ind w:left="3923" w:hanging="420"/>
      </w:pPr>
    </w:lvl>
  </w:abstractNum>
  <w:abstractNum w:abstractNumId="8">
    <w:nsid w:val="6E87019F"/>
    <w:multiLevelType w:val="multilevel"/>
    <w:tmpl w:val="6E87019F"/>
    <w:lvl w:ilvl="0" w:tentative="0">
      <w:start w:val="1"/>
      <w:numFmt w:val="chineseCountingThousand"/>
      <w:lvlText w:val="%1、"/>
      <w:lvlJc w:val="left"/>
      <w:pPr>
        <w:ind w:left="425" w:hanging="425"/>
      </w:pPr>
    </w:lvl>
    <w:lvl w:ilvl="1" w:tentative="0">
      <w:start w:val="1"/>
      <w:numFmt w:val="decimal"/>
      <w:lvlText w:val="%1.%2"/>
      <w:lvlJc w:val="left"/>
      <w:pPr>
        <w:ind w:left="992" w:hanging="567"/>
      </w:pPr>
    </w:lvl>
    <w:lvl w:ilvl="2" w:tentative="0">
      <w:start w:val="1"/>
      <w:numFmt w:val="decimal"/>
      <w:pStyle w:val="118"/>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9">
    <w:nsid w:val="72DF347D"/>
    <w:multiLevelType w:val="multilevel"/>
    <w:tmpl w:val="72DF347D"/>
    <w:lvl w:ilvl="0" w:tentative="0">
      <w:start w:val="1"/>
      <w:numFmt w:val="decimal"/>
      <w:pStyle w:val="108"/>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113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543651A"/>
    <w:multiLevelType w:val="multilevel"/>
    <w:tmpl w:val="7543651A"/>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126"/>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7"/>
  </w:num>
  <w:num w:numId="3">
    <w:abstractNumId w:val="9"/>
  </w:num>
  <w:num w:numId="4">
    <w:abstractNumId w:val="6"/>
  </w:num>
  <w:num w:numId="5">
    <w:abstractNumId w:val="8"/>
  </w:num>
  <w:num w:numId="6">
    <w:abstractNumId w:val="2"/>
    <w:lvlOverride w:ilvl="0">
      <w:lvl w:ilvl="0" w:tentative="1">
        <w:start w:val="1"/>
        <w:numFmt w:val="decimal"/>
        <w:pStyle w:val="120"/>
        <w:lvlText w:val="第%1条"/>
        <w:lvlJc w:val="left"/>
        <w:pPr>
          <w:ind w:left="0" w:firstLine="0"/>
        </w:pPr>
      </w:lvl>
    </w:lvlOverride>
    <w:lvlOverride w:ilvl="1">
      <w:lvl w:ilvl="1" w:tentative="1">
        <w:start w:val="1"/>
        <w:numFmt w:val="decimal"/>
        <w:lvlText w:val="%1.%2"/>
        <w:lvlJc w:val="left"/>
        <w:pPr>
          <w:ind w:left="1843" w:firstLine="0"/>
        </w:pPr>
      </w:lvl>
    </w:lvlOverride>
    <w:lvlOverride w:ilvl="2">
      <w:lvl w:ilvl="2" w:tentative="1">
        <w:start w:val="1"/>
        <w:numFmt w:val="decimal"/>
        <w:pStyle w:val="136"/>
        <w:lvlText w:val="%1.%2.%3"/>
        <w:lvlJc w:val="left"/>
        <w:pPr>
          <w:ind w:left="2126" w:firstLine="0"/>
        </w:pPr>
      </w:lvl>
    </w:lvlOverride>
    <w:lvlOverride w:ilvl="3">
      <w:lvl w:ilvl="3" w:tentative="1">
        <w:start w:val="1"/>
        <w:numFmt w:val="decimal"/>
        <w:lvlText w:val="%1.%2.%3.%4"/>
        <w:lvlJc w:val="left"/>
        <w:pPr>
          <w:ind w:left="710" w:firstLine="0"/>
        </w:pPr>
      </w:lvl>
    </w:lvlOverride>
    <w:lvlOverride w:ilvl="4">
      <w:lvl w:ilvl="4" w:tentative="1">
        <w:start w:val="1"/>
        <w:numFmt w:val="decimal"/>
        <w:lvlText w:val="%1.%2.%3.%4.%5"/>
        <w:lvlJc w:val="left"/>
        <w:pPr>
          <w:ind w:left="0" w:firstLine="0"/>
        </w:pPr>
      </w:lvl>
    </w:lvlOverride>
    <w:lvlOverride w:ilvl="5">
      <w:lvl w:ilvl="5" w:tentative="1">
        <w:start w:val="1"/>
        <w:numFmt w:val="decimal"/>
        <w:lvlText w:val="%1.%2.%3.%4.%5.%6"/>
        <w:lvlJc w:val="left"/>
        <w:pPr>
          <w:ind w:left="0" w:firstLine="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7">
    <w:abstractNumId w:val="5"/>
  </w:num>
  <w:num w:numId="8">
    <w:abstractNumId w:val="10"/>
  </w:num>
  <w:num w:numId="9">
    <w:abstractNumId w:val="4"/>
  </w:num>
  <w:num w:numId="10">
    <w:abstractNumId w:val="2"/>
    <w:lvlOverride w:ilvl="0">
      <w:lvl w:ilvl="0" w:tentative="1">
        <w:start w:val="1"/>
        <w:numFmt w:val="decimal"/>
        <w:pStyle w:val="137"/>
        <w:lvlText w:val="第%1条"/>
        <w:lvlJc w:val="left"/>
        <w:pPr>
          <w:ind w:left="0" w:firstLine="0"/>
        </w:pPr>
      </w:lvl>
    </w:lvlOverride>
    <w:lvlOverride w:ilvl="1">
      <w:lvl w:ilvl="1" w:tentative="1">
        <w:start w:val="1"/>
        <w:numFmt w:val="decimal"/>
        <w:lvlText w:val="%1.%2"/>
        <w:lvlJc w:val="left"/>
        <w:pPr>
          <w:ind w:left="0" w:firstLine="0"/>
        </w:pPr>
      </w:lvl>
    </w:lvlOverride>
    <w:lvlOverride w:ilvl="2">
      <w:lvl w:ilvl="2" w:tentative="1">
        <w:start w:val="1"/>
        <w:numFmt w:val="decimal"/>
        <w:lvlText w:val="%1.%2.%3"/>
        <w:lvlJc w:val="left"/>
        <w:pPr>
          <w:ind w:left="0" w:firstLine="0"/>
        </w:pPr>
      </w:lvl>
    </w:lvlOverride>
    <w:lvlOverride w:ilvl="3">
      <w:lvl w:ilvl="3" w:tentative="1">
        <w:start w:val="1"/>
        <w:numFmt w:val="decimal"/>
        <w:lvlText w:val="%1.%2.%3.%4"/>
        <w:lvlJc w:val="left"/>
        <w:pPr>
          <w:ind w:left="0" w:firstLine="0"/>
        </w:pPr>
      </w:lvl>
    </w:lvlOverride>
    <w:lvlOverride w:ilvl="4">
      <w:lvl w:ilvl="4" w:tentative="1">
        <w:start w:val="1"/>
        <w:numFmt w:val="decimal"/>
        <w:lvlText w:val="(%5)"/>
        <w:lvlJc w:val="left"/>
        <w:pPr>
          <w:ind w:left="310" w:firstLine="400"/>
        </w:pPr>
      </w:lvl>
    </w:lvlOverride>
    <w:lvlOverride w:ilvl="5">
      <w:lvl w:ilvl="5" w:tentative="1">
        <w:start w:val="1"/>
        <w:numFmt w:val="decimal"/>
        <w:lvlText w:val="%6)"/>
        <w:lvlJc w:val="left"/>
        <w:pPr>
          <w:ind w:left="0" w:firstLine="48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0685"/>
    <w:rsid w:val="000377E0"/>
    <w:rsid w:val="00054221"/>
    <w:rsid w:val="00097A2B"/>
    <w:rsid w:val="000A1CE9"/>
    <w:rsid w:val="000B0DC1"/>
    <w:rsid w:val="000D0CE1"/>
    <w:rsid w:val="000E176E"/>
    <w:rsid w:val="000E2FED"/>
    <w:rsid w:val="000F154C"/>
    <w:rsid w:val="000F1F16"/>
    <w:rsid w:val="00113F6C"/>
    <w:rsid w:val="00137878"/>
    <w:rsid w:val="0015275D"/>
    <w:rsid w:val="00157DFD"/>
    <w:rsid w:val="001626F0"/>
    <w:rsid w:val="00166297"/>
    <w:rsid w:val="001D1651"/>
    <w:rsid w:val="001D4BF9"/>
    <w:rsid w:val="001E11CD"/>
    <w:rsid w:val="001E4438"/>
    <w:rsid w:val="002024A4"/>
    <w:rsid w:val="00220687"/>
    <w:rsid w:val="002308A0"/>
    <w:rsid w:val="00251D0D"/>
    <w:rsid w:val="00252424"/>
    <w:rsid w:val="00271E0A"/>
    <w:rsid w:val="002864C8"/>
    <w:rsid w:val="00287AFD"/>
    <w:rsid w:val="002A445D"/>
    <w:rsid w:val="002B6ABE"/>
    <w:rsid w:val="002D12D4"/>
    <w:rsid w:val="002D1616"/>
    <w:rsid w:val="002D5258"/>
    <w:rsid w:val="002E62F9"/>
    <w:rsid w:val="00303611"/>
    <w:rsid w:val="003374F1"/>
    <w:rsid w:val="0034335C"/>
    <w:rsid w:val="0035591A"/>
    <w:rsid w:val="003B24AC"/>
    <w:rsid w:val="003E2F12"/>
    <w:rsid w:val="004010EB"/>
    <w:rsid w:val="00406E2A"/>
    <w:rsid w:val="00421759"/>
    <w:rsid w:val="004564C4"/>
    <w:rsid w:val="00481F26"/>
    <w:rsid w:val="00493CD6"/>
    <w:rsid w:val="00494743"/>
    <w:rsid w:val="004A1EF0"/>
    <w:rsid w:val="004B1920"/>
    <w:rsid w:val="004E0E41"/>
    <w:rsid w:val="004E6A74"/>
    <w:rsid w:val="0051618C"/>
    <w:rsid w:val="00591D3F"/>
    <w:rsid w:val="0059455F"/>
    <w:rsid w:val="005B0CAE"/>
    <w:rsid w:val="005C0DDE"/>
    <w:rsid w:val="005D04DD"/>
    <w:rsid w:val="005D6BA9"/>
    <w:rsid w:val="0063393F"/>
    <w:rsid w:val="0065015B"/>
    <w:rsid w:val="006514D4"/>
    <w:rsid w:val="00653A15"/>
    <w:rsid w:val="00671B26"/>
    <w:rsid w:val="0068362F"/>
    <w:rsid w:val="00692AB1"/>
    <w:rsid w:val="006A51AD"/>
    <w:rsid w:val="006A5CEC"/>
    <w:rsid w:val="006B457D"/>
    <w:rsid w:val="006B497B"/>
    <w:rsid w:val="006C6DB8"/>
    <w:rsid w:val="006F0340"/>
    <w:rsid w:val="00714908"/>
    <w:rsid w:val="007304E0"/>
    <w:rsid w:val="00745707"/>
    <w:rsid w:val="00763C36"/>
    <w:rsid w:val="0077491D"/>
    <w:rsid w:val="00785888"/>
    <w:rsid w:val="007B6AB7"/>
    <w:rsid w:val="007D47AF"/>
    <w:rsid w:val="007E04B0"/>
    <w:rsid w:val="007F076B"/>
    <w:rsid w:val="007F4670"/>
    <w:rsid w:val="00814266"/>
    <w:rsid w:val="00837FB2"/>
    <w:rsid w:val="0084438F"/>
    <w:rsid w:val="00846F21"/>
    <w:rsid w:val="0088522C"/>
    <w:rsid w:val="008A2138"/>
    <w:rsid w:val="008C03D1"/>
    <w:rsid w:val="008F2C0B"/>
    <w:rsid w:val="008F52D7"/>
    <w:rsid w:val="008F5754"/>
    <w:rsid w:val="00903E2F"/>
    <w:rsid w:val="0090504F"/>
    <w:rsid w:val="009431BC"/>
    <w:rsid w:val="00951411"/>
    <w:rsid w:val="00954CA0"/>
    <w:rsid w:val="00987DC6"/>
    <w:rsid w:val="00992DF1"/>
    <w:rsid w:val="00995519"/>
    <w:rsid w:val="00A119AF"/>
    <w:rsid w:val="00A33517"/>
    <w:rsid w:val="00A41A86"/>
    <w:rsid w:val="00A610FA"/>
    <w:rsid w:val="00A639CB"/>
    <w:rsid w:val="00A843D0"/>
    <w:rsid w:val="00AA4EE9"/>
    <w:rsid w:val="00AD764F"/>
    <w:rsid w:val="00AD79B4"/>
    <w:rsid w:val="00AE6719"/>
    <w:rsid w:val="00B02656"/>
    <w:rsid w:val="00B13071"/>
    <w:rsid w:val="00B25EEC"/>
    <w:rsid w:val="00B51368"/>
    <w:rsid w:val="00B951D8"/>
    <w:rsid w:val="00BA1CC3"/>
    <w:rsid w:val="00C224E5"/>
    <w:rsid w:val="00C30762"/>
    <w:rsid w:val="00C52250"/>
    <w:rsid w:val="00C678AA"/>
    <w:rsid w:val="00C856B0"/>
    <w:rsid w:val="00CC33B9"/>
    <w:rsid w:val="00CD04EB"/>
    <w:rsid w:val="00CD0541"/>
    <w:rsid w:val="00CD12E3"/>
    <w:rsid w:val="00D005AA"/>
    <w:rsid w:val="00D23AD5"/>
    <w:rsid w:val="00D34943"/>
    <w:rsid w:val="00D60794"/>
    <w:rsid w:val="00D837DE"/>
    <w:rsid w:val="00D965F7"/>
    <w:rsid w:val="00D97881"/>
    <w:rsid w:val="00DA6CF9"/>
    <w:rsid w:val="00DC2317"/>
    <w:rsid w:val="00E01BBA"/>
    <w:rsid w:val="00E105CD"/>
    <w:rsid w:val="00E12090"/>
    <w:rsid w:val="00E26FD9"/>
    <w:rsid w:val="00E53DE0"/>
    <w:rsid w:val="00E763D4"/>
    <w:rsid w:val="00EE3AD1"/>
    <w:rsid w:val="00EE56CF"/>
    <w:rsid w:val="00EE5A0D"/>
    <w:rsid w:val="00F225CD"/>
    <w:rsid w:val="00F3630C"/>
    <w:rsid w:val="00F56BC4"/>
    <w:rsid w:val="00F910E8"/>
    <w:rsid w:val="00FC1E57"/>
    <w:rsid w:val="00FC75C2"/>
    <w:rsid w:val="00FE19B8"/>
    <w:rsid w:val="00FE51F4"/>
    <w:rsid w:val="00FF3C85"/>
    <w:rsid w:val="02012678"/>
    <w:rsid w:val="0260063F"/>
    <w:rsid w:val="03E61E37"/>
    <w:rsid w:val="05AA4FDF"/>
    <w:rsid w:val="07753FBA"/>
    <w:rsid w:val="07A0542F"/>
    <w:rsid w:val="08016FEA"/>
    <w:rsid w:val="083A3E54"/>
    <w:rsid w:val="0E060F2D"/>
    <w:rsid w:val="0F2A71B7"/>
    <w:rsid w:val="101C1D9D"/>
    <w:rsid w:val="136C0FBE"/>
    <w:rsid w:val="151E4719"/>
    <w:rsid w:val="16380B55"/>
    <w:rsid w:val="16854108"/>
    <w:rsid w:val="169A0490"/>
    <w:rsid w:val="16C61649"/>
    <w:rsid w:val="16DB0A8D"/>
    <w:rsid w:val="185626CF"/>
    <w:rsid w:val="185C1470"/>
    <w:rsid w:val="1B35A214"/>
    <w:rsid w:val="1B7F2FA8"/>
    <w:rsid w:val="1B924B17"/>
    <w:rsid w:val="1C276350"/>
    <w:rsid w:val="1CEA4959"/>
    <w:rsid w:val="1EAE7E67"/>
    <w:rsid w:val="1FBF623C"/>
    <w:rsid w:val="1FE8CC60"/>
    <w:rsid w:val="20764FAC"/>
    <w:rsid w:val="215A67A6"/>
    <w:rsid w:val="2449135F"/>
    <w:rsid w:val="265332F5"/>
    <w:rsid w:val="27520A6E"/>
    <w:rsid w:val="27A25704"/>
    <w:rsid w:val="2B040F65"/>
    <w:rsid w:val="2B445904"/>
    <w:rsid w:val="2DE393C1"/>
    <w:rsid w:val="2DF773F7"/>
    <w:rsid w:val="2E1D22E8"/>
    <w:rsid w:val="2EFEF2CE"/>
    <w:rsid w:val="2F724E54"/>
    <w:rsid w:val="2FF56550"/>
    <w:rsid w:val="30FE7AD5"/>
    <w:rsid w:val="323D6931"/>
    <w:rsid w:val="3291523A"/>
    <w:rsid w:val="331828E2"/>
    <w:rsid w:val="335600F6"/>
    <w:rsid w:val="33CA4164"/>
    <w:rsid w:val="349D4FA4"/>
    <w:rsid w:val="37CC7AE8"/>
    <w:rsid w:val="37EF1228"/>
    <w:rsid w:val="39793A39"/>
    <w:rsid w:val="3A395644"/>
    <w:rsid w:val="3A4F389C"/>
    <w:rsid w:val="3C0F36AE"/>
    <w:rsid w:val="3C704B48"/>
    <w:rsid w:val="3D7A3669"/>
    <w:rsid w:val="3E2544D2"/>
    <w:rsid w:val="3E82798E"/>
    <w:rsid w:val="3F5E9A83"/>
    <w:rsid w:val="3F791F85"/>
    <w:rsid w:val="3FB657B2"/>
    <w:rsid w:val="3FC5106C"/>
    <w:rsid w:val="3FF4025C"/>
    <w:rsid w:val="429A290C"/>
    <w:rsid w:val="429F5D6E"/>
    <w:rsid w:val="42EE5ADC"/>
    <w:rsid w:val="432E01D2"/>
    <w:rsid w:val="446238A6"/>
    <w:rsid w:val="44995564"/>
    <w:rsid w:val="44ED6ECC"/>
    <w:rsid w:val="455523AA"/>
    <w:rsid w:val="464C019B"/>
    <w:rsid w:val="47363B84"/>
    <w:rsid w:val="47A1037D"/>
    <w:rsid w:val="493B40DE"/>
    <w:rsid w:val="49D6098E"/>
    <w:rsid w:val="4B653F25"/>
    <w:rsid w:val="4B8552E8"/>
    <w:rsid w:val="4C9D27BD"/>
    <w:rsid w:val="4EA9021E"/>
    <w:rsid w:val="4F654DE7"/>
    <w:rsid w:val="50560D3C"/>
    <w:rsid w:val="54703E73"/>
    <w:rsid w:val="55011878"/>
    <w:rsid w:val="556E6CA4"/>
    <w:rsid w:val="57FF8D6E"/>
    <w:rsid w:val="583E4FD7"/>
    <w:rsid w:val="59301C23"/>
    <w:rsid w:val="59974FB6"/>
    <w:rsid w:val="5AC86CAA"/>
    <w:rsid w:val="5AEC4362"/>
    <w:rsid w:val="5DE4478A"/>
    <w:rsid w:val="5E693FBB"/>
    <w:rsid w:val="5F6F8617"/>
    <w:rsid w:val="5FDA7718"/>
    <w:rsid w:val="5FDFF34C"/>
    <w:rsid w:val="5FE0AA50"/>
    <w:rsid w:val="61244B51"/>
    <w:rsid w:val="61EC7C5C"/>
    <w:rsid w:val="63D874C7"/>
    <w:rsid w:val="66B5757B"/>
    <w:rsid w:val="66BBA583"/>
    <w:rsid w:val="6966406B"/>
    <w:rsid w:val="69DFE15C"/>
    <w:rsid w:val="69EC02F2"/>
    <w:rsid w:val="6B5BD368"/>
    <w:rsid w:val="6BDC056A"/>
    <w:rsid w:val="6BE52657"/>
    <w:rsid w:val="6CCF2C3C"/>
    <w:rsid w:val="6D5ED91D"/>
    <w:rsid w:val="6DB93562"/>
    <w:rsid w:val="6E19097C"/>
    <w:rsid w:val="6E217AC2"/>
    <w:rsid w:val="6EB5050F"/>
    <w:rsid w:val="6F7F812E"/>
    <w:rsid w:val="6FE839FE"/>
    <w:rsid w:val="6FFF3307"/>
    <w:rsid w:val="6FFF5D83"/>
    <w:rsid w:val="6FFF9BE6"/>
    <w:rsid w:val="70EA05E1"/>
    <w:rsid w:val="71D98426"/>
    <w:rsid w:val="725778B3"/>
    <w:rsid w:val="727F3713"/>
    <w:rsid w:val="73DFCA6F"/>
    <w:rsid w:val="749F3DF2"/>
    <w:rsid w:val="75325B07"/>
    <w:rsid w:val="75506DA6"/>
    <w:rsid w:val="75BE8131"/>
    <w:rsid w:val="75FFFEE4"/>
    <w:rsid w:val="76256095"/>
    <w:rsid w:val="76EC7C38"/>
    <w:rsid w:val="777EB5F9"/>
    <w:rsid w:val="77A06F2A"/>
    <w:rsid w:val="77BFAEE0"/>
    <w:rsid w:val="77CF58EC"/>
    <w:rsid w:val="77DFDD3F"/>
    <w:rsid w:val="77F7DACF"/>
    <w:rsid w:val="783D7153"/>
    <w:rsid w:val="788E043A"/>
    <w:rsid w:val="7896348A"/>
    <w:rsid w:val="797C0231"/>
    <w:rsid w:val="799BBDE3"/>
    <w:rsid w:val="79B24EB2"/>
    <w:rsid w:val="79F75D10"/>
    <w:rsid w:val="7A17788D"/>
    <w:rsid w:val="7A2F6D85"/>
    <w:rsid w:val="7AD7140E"/>
    <w:rsid w:val="7ADFE682"/>
    <w:rsid w:val="7AFF45FA"/>
    <w:rsid w:val="7CA12938"/>
    <w:rsid w:val="7CF5E961"/>
    <w:rsid w:val="7DE91C88"/>
    <w:rsid w:val="7DFA75C8"/>
    <w:rsid w:val="7E934E41"/>
    <w:rsid w:val="7EB6B57C"/>
    <w:rsid w:val="7F5E7106"/>
    <w:rsid w:val="7F7AD768"/>
    <w:rsid w:val="7F7F165D"/>
    <w:rsid w:val="7F9F5781"/>
    <w:rsid w:val="7FCD0469"/>
    <w:rsid w:val="7FD7C995"/>
    <w:rsid w:val="7FE7EA30"/>
    <w:rsid w:val="7FEE086C"/>
    <w:rsid w:val="7FFFB2F1"/>
    <w:rsid w:val="97FB08AB"/>
    <w:rsid w:val="9F7F46E9"/>
    <w:rsid w:val="9FBA0046"/>
    <w:rsid w:val="9FCDDAB7"/>
    <w:rsid w:val="A67C01CC"/>
    <w:rsid w:val="AEDD5EB5"/>
    <w:rsid w:val="B4EA88DA"/>
    <w:rsid w:val="BDDEADA3"/>
    <w:rsid w:val="BDDF10B7"/>
    <w:rsid w:val="BDEF7EB8"/>
    <w:rsid w:val="BFDF7EF0"/>
    <w:rsid w:val="C156CBB7"/>
    <w:rsid w:val="C97FDE1C"/>
    <w:rsid w:val="CF29278B"/>
    <w:rsid w:val="D4FFC526"/>
    <w:rsid w:val="D5BEC79B"/>
    <w:rsid w:val="DD27A018"/>
    <w:rsid w:val="DFFB1315"/>
    <w:rsid w:val="DFFB1C1F"/>
    <w:rsid w:val="E6CECF43"/>
    <w:rsid w:val="E6EF822D"/>
    <w:rsid w:val="EBE526E1"/>
    <w:rsid w:val="EDBEA789"/>
    <w:rsid w:val="EF9BD156"/>
    <w:rsid w:val="EFFA1655"/>
    <w:rsid w:val="F36B7CCA"/>
    <w:rsid w:val="F5BFBFFF"/>
    <w:rsid w:val="F73F8C29"/>
    <w:rsid w:val="F9DC8E64"/>
    <w:rsid w:val="FBDF3DE6"/>
    <w:rsid w:val="FDCF3E6F"/>
    <w:rsid w:val="FDFF2A73"/>
    <w:rsid w:val="FE71440D"/>
    <w:rsid w:val="FEA68BC2"/>
    <w:rsid w:val="FF34A60C"/>
    <w:rsid w:val="FF4D5EA0"/>
    <w:rsid w:val="FF7D58D4"/>
    <w:rsid w:val="FFDFE61A"/>
    <w:rsid w:val="FFFF159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iPriority="99" w:semiHidden="0" w:name="Body Text 2"/>
    <w:lsdException w:qFormat="1" w:unhideWhenUsed="0" w:uiPriority="99" w:semiHidden="0" w:name="Body Text 3"/>
    <w:lsdException w:qFormat="1" w:uiPriority="99"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480" w:after="480"/>
      <w:outlineLvl w:val="0"/>
    </w:pPr>
    <w:rPr>
      <w:b/>
      <w:bCs/>
      <w:kern w:val="44"/>
      <w:sz w:val="44"/>
      <w:szCs w:val="44"/>
    </w:rPr>
  </w:style>
  <w:style w:type="paragraph" w:styleId="3">
    <w:name w:val="heading 2"/>
    <w:basedOn w:val="1"/>
    <w:next w:val="1"/>
    <w:link w:val="52"/>
    <w:qFormat/>
    <w:uiPriority w:val="0"/>
    <w:pPr>
      <w:keepNext/>
      <w:keepLines/>
      <w:spacing w:before="360" w:after="360"/>
      <w:outlineLvl w:val="1"/>
    </w:pPr>
    <w:rPr>
      <w:rFonts w:ascii="Arial" w:hAnsi="Arial" w:eastAsia="黑体"/>
      <w:b/>
      <w:bCs/>
      <w:sz w:val="32"/>
      <w:szCs w:val="32"/>
    </w:rPr>
  </w:style>
  <w:style w:type="paragraph" w:styleId="4">
    <w:name w:val="heading 3"/>
    <w:basedOn w:val="1"/>
    <w:next w:val="1"/>
    <w:link w:val="53"/>
    <w:qFormat/>
    <w:uiPriority w:val="0"/>
    <w:pPr>
      <w:keepNext/>
      <w:keepLines/>
      <w:spacing w:before="360" w:after="360"/>
      <w:ind w:firstLine="49" w:firstLineChars="49"/>
      <w:outlineLvl w:val="2"/>
    </w:pPr>
    <w:rPr>
      <w:rFonts w:ascii="黑体" w:hAnsi="宋体" w:eastAsia="黑体"/>
      <w:bCs/>
      <w:sz w:val="28"/>
      <w:szCs w:val="28"/>
    </w:rPr>
  </w:style>
  <w:style w:type="paragraph" w:styleId="5">
    <w:name w:val="heading 4"/>
    <w:basedOn w:val="1"/>
    <w:next w:val="1"/>
    <w:link w:val="54"/>
    <w:qFormat/>
    <w:uiPriority w:val="0"/>
    <w:pPr>
      <w:keepNext/>
      <w:keepLines/>
      <w:spacing w:before="280" w:beforeLines="0" w:after="290" w:afterLines="0" w:line="374" w:lineRule="auto"/>
      <w:outlineLvl w:val="3"/>
    </w:pPr>
    <w:rPr>
      <w:rFonts w:ascii="Arial" w:hAnsi="Arial" w:eastAsia="黑体"/>
      <w:b/>
      <w:bCs/>
      <w:sz w:val="28"/>
      <w:szCs w:val="28"/>
    </w:rPr>
  </w:style>
  <w:style w:type="paragraph" w:styleId="6">
    <w:name w:val="heading 5"/>
    <w:basedOn w:val="1"/>
    <w:next w:val="1"/>
    <w:link w:val="55"/>
    <w:qFormat/>
    <w:uiPriority w:val="0"/>
    <w:pPr>
      <w:keepNext/>
      <w:keepLines/>
      <w:widowControl/>
      <w:wordWrap w:val="0"/>
      <w:topLinePunct/>
      <w:adjustRightInd w:val="0"/>
      <w:snapToGrid w:val="0"/>
      <w:spacing w:before="280" w:after="290" w:afterLines="50" w:line="376" w:lineRule="auto"/>
      <w:ind w:left="992" w:hanging="992" w:firstLineChars="200"/>
      <w:outlineLvl w:val="4"/>
    </w:pPr>
    <w:rPr>
      <w:rFonts w:ascii="宋体" w:hAnsi="宋体"/>
      <w:b/>
      <w:bCs/>
      <w:kern w:val="0"/>
      <w:sz w:val="28"/>
      <w:szCs w:val="28"/>
    </w:rPr>
  </w:style>
  <w:style w:type="paragraph" w:styleId="7">
    <w:name w:val="heading 6"/>
    <w:basedOn w:val="1"/>
    <w:next w:val="1"/>
    <w:link w:val="56"/>
    <w:qFormat/>
    <w:uiPriority w:val="0"/>
    <w:pPr>
      <w:keepNext/>
      <w:keepLines/>
      <w:widowControl/>
      <w:tabs>
        <w:tab w:val="left" w:pos="1440"/>
      </w:tabs>
      <w:spacing w:before="240" w:beforeLines="0" w:after="64" w:afterLines="0" w:line="319" w:lineRule="auto"/>
      <w:ind w:left="1152" w:hanging="1152"/>
      <w:jc w:val="left"/>
      <w:outlineLvl w:val="5"/>
    </w:pPr>
    <w:rPr>
      <w:rFonts w:ascii="Arial" w:hAnsi="Arial" w:eastAsia="黑体"/>
      <w:b/>
      <w:bCs/>
      <w:kern w:val="0"/>
      <w:sz w:val="24"/>
    </w:rPr>
  </w:style>
  <w:style w:type="paragraph" w:styleId="8">
    <w:name w:val="heading 7"/>
    <w:basedOn w:val="1"/>
    <w:next w:val="1"/>
    <w:link w:val="57"/>
    <w:qFormat/>
    <w:uiPriority w:val="0"/>
    <w:pPr>
      <w:keepNext/>
      <w:keepLines/>
      <w:widowControl/>
      <w:tabs>
        <w:tab w:val="left" w:pos="2520"/>
      </w:tabs>
      <w:spacing w:before="240" w:beforeLines="0" w:after="64" w:afterLines="0" w:line="319" w:lineRule="auto"/>
      <w:ind w:left="1296" w:hanging="1296"/>
      <w:jc w:val="left"/>
      <w:outlineLvl w:val="6"/>
    </w:pPr>
    <w:rPr>
      <w:b/>
      <w:bCs/>
      <w:kern w:val="0"/>
      <w:sz w:val="24"/>
    </w:rPr>
  </w:style>
  <w:style w:type="paragraph" w:styleId="9">
    <w:name w:val="heading 8"/>
    <w:basedOn w:val="1"/>
    <w:next w:val="1"/>
    <w:link w:val="58"/>
    <w:qFormat/>
    <w:uiPriority w:val="0"/>
    <w:pPr>
      <w:keepNext/>
      <w:keepLines/>
      <w:widowControl/>
      <w:tabs>
        <w:tab w:val="left" w:pos="1440"/>
      </w:tabs>
      <w:spacing w:before="240" w:beforeLines="0" w:after="64" w:afterLines="0" w:line="319" w:lineRule="auto"/>
      <w:ind w:left="1440" w:hanging="1440"/>
      <w:jc w:val="left"/>
      <w:outlineLvl w:val="7"/>
    </w:pPr>
    <w:rPr>
      <w:rFonts w:ascii="Arial" w:hAnsi="Arial" w:eastAsia="黑体"/>
      <w:kern w:val="0"/>
      <w:sz w:val="24"/>
    </w:rPr>
  </w:style>
  <w:style w:type="paragraph" w:styleId="10">
    <w:name w:val="heading 9"/>
    <w:basedOn w:val="1"/>
    <w:next w:val="1"/>
    <w:link w:val="59"/>
    <w:qFormat/>
    <w:uiPriority w:val="0"/>
    <w:pPr>
      <w:keepNext/>
      <w:keepLines/>
      <w:widowControl/>
      <w:tabs>
        <w:tab w:val="left" w:pos="1584"/>
      </w:tabs>
      <w:spacing w:before="240" w:beforeLines="0" w:after="64" w:afterLines="0" w:line="319" w:lineRule="auto"/>
      <w:ind w:left="1584" w:hanging="1584"/>
      <w:jc w:val="left"/>
      <w:outlineLvl w:val="8"/>
    </w:pPr>
    <w:rPr>
      <w:rFonts w:ascii="Arial" w:hAnsi="Arial" w:eastAsia="黑体"/>
      <w:kern w:val="0"/>
      <w:szCs w:val="21"/>
    </w:rPr>
  </w:style>
  <w:style w:type="character" w:default="1" w:styleId="43">
    <w:name w:val="Default Paragraph Font"/>
    <w:qFormat/>
    <w:uiPriority w:val="0"/>
  </w:style>
  <w:style w:type="table" w:default="1" w:styleId="41">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Normal Indent"/>
    <w:basedOn w:val="1"/>
    <w:qFormat/>
    <w:uiPriority w:val="0"/>
    <w:pPr>
      <w:ind w:firstLine="420" w:firstLineChars="200"/>
    </w:pPr>
  </w:style>
  <w:style w:type="paragraph" w:styleId="13">
    <w:name w:val="Document Map"/>
    <w:basedOn w:val="1"/>
    <w:link w:val="60"/>
    <w:qFormat/>
    <w:uiPriority w:val="0"/>
    <w:pPr>
      <w:shd w:val="clear" w:color="auto" w:fill="000080"/>
    </w:pPr>
  </w:style>
  <w:style w:type="paragraph" w:styleId="14">
    <w:name w:val="annotation text"/>
    <w:basedOn w:val="1"/>
    <w:link w:val="61"/>
    <w:qFormat/>
    <w:uiPriority w:val="0"/>
    <w:pPr>
      <w:jc w:val="left"/>
    </w:pPr>
  </w:style>
  <w:style w:type="paragraph" w:styleId="15">
    <w:name w:val="Body Text 3"/>
    <w:basedOn w:val="1"/>
    <w:link w:val="62"/>
    <w:qFormat/>
    <w:uiPriority w:val="99"/>
    <w:rPr>
      <w:rFonts w:ascii="宋体"/>
      <w:sz w:val="24"/>
      <w:szCs w:val="20"/>
    </w:rPr>
  </w:style>
  <w:style w:type="paragraph" w:styleId="16">
    <w:name w:val="Body Text"/>
    <w:basedOn w:val="1"/>
    <w:link w:val="63"/>
    <w:qFormat/>
    <w:uiPriority w:val="0"/>
    <w:pPr>
      <w:spacing w:after="120" w:afterLines="0"/>
    </w:pPr>
  </w:style>
  <w:style w:type="paragraph" w:styleId="17">
    <w:name w:val="Body Text Indent"/>
    <w:basedOn w:val="1"/>
    <w:qFormat/>
    <w:uiPriority w:val="0"/>
    <w:pPr>
      <w:spacing w:after="120" w:afterLines="0"/>
      <w:ind w:left="420" w:leftChars="200"/>
    </w:pPr>
  </w:style>
  <w:style w:type="paragraph" w:styleId="18">
    <w:name w:val="toc 5"/>
    <w:basedOn w:val="1"/>
    <w:next w:val="1"/>
    <w:qFormat/>
    <w:uiPriority w:val="39"/>
    <w:pPr>
      <w:ind w:left="840"/>
      <w:jc w:val="left"/>
    </w:pPr>
    <w:rPr>
      <w:sz w:val="18"/>
      <w:szCs w:val="18"/>
    </w:rPr>
  </w:style>
  <w:style w:type="paragraph" w:styleId="19">
    <w:name w:val="toc 3"/>
    <w:basedOn w:val="1"/>
    <w:next w:val="1"/>
    <w:qFormat/>
    <w:uiPriority w:val="39"/>
    <w:pPr>
      <w:ind w:left="420"/>
      <w:jc w:val="left"/>
    </w:pPr>
    <w:rPr>
      <w:iCs/>
      <w:sz w:val="20"/>
      <w:szCs w:val="20"/>
    </w:rPr>
  </w:style>
  <w:style w:type="paragraph" w:styleId="20">
    <w:name w:val="Plain Text"/>
    <w:link w:val="64"/>
    <w:qFormat/>
    <w:uiPriority w:val="0"/>
    <w:pPr>
      <w:adjustRightInd w:val="0"/>
      <w:snapToGrid w:val="0"/>
      <w:spacing w:after="120" w:afterLines="50" w:line="360" w:lineRule="auto"/>
      <w:jc w:val="both"/>
    </w:pPr>
    <w:rPr>
      <w:rFonts w:ascii="宋体" w:hAnsi="宋体" w:eastAsia="宋体" w:cs="Times New Roman"/>
      <w:kern w:val="2"/>
      <w:sz w:val="24"/>
      <w:szCs w:val="24"/>
      <w:lang w:bidi="ar-SA"/>
    </w:rPr>
  </w:style>
  <w:style w:type="paragraph" w:styleId="21">
    <w:name w:val="toc 8"/>
    <w:basedOn w:val="1"/>
    <w:next w:val="1"/>
    <w:qFormat/>
    <w:uiPriority w:val="39"/>
    <w:pPr>
      <w:ind w:left="1470"/>
      <w:jc w:val="left"/>
    </w:pPr>
    <w:rPr>
      <w:sz w:val="18"/>
      <w:szCs w:val="18"/>
    </w:rPr>
  </w:style>
  <w:style w:type="paragraph" w:styleId="22">
    <w:name w:val="Date"/>
    <w:basedOn w:val="1"/>
    <w:next w:val="1"/>
    <w:link w:val="65"/>
    <w:qFormat/>
    <w:uiPriority w:val="0"/>
    <w:rPr>
      <w:sz w:val="24"/>
      <w:szCs w:val="20"/>
    </w:rPr>
  </w:style>
  <w:style w:type="paragraph" w:styleId="23">
    <w:name w:val="Body Text Indent 2"/>
    <w:basedOn w:val="1"/>
    <w:link w:val="66"/>
    <w:unhideWhenUsed/>
    <w:qFormat/>
    <w:uiPriority w:val="99"/>
    <w:pPr>
      <w:spacing w:after="120" w:line="480" w:lineRule="auto"/>
      <w:ind w:left="420" w:leftChars="200"/>
    </w:pPr>
  </w:style>
  <w:style w:type="paragraph" w:styleId="24">
    <w:name w:val="Balloon Text"/>
    <w:basedOn w:val="1"/>
    <w:link w:val="67"/>
    <w:qFormat/>
    <w:uiPriority w:val="99"/>
    <w:rPr>
      <w:sz w:val="18"/>
      <w:szCs w:val="18"/>
    </w:rPr>
  </w:style>
  <w:style w:type="paragraph" w:styleId="25">
    <w:name w:val="footer"/>
    <w:basedOn w:val="1"/>
    <w:link w:val="68"/>
    <w:qFormat/>
    <w:uiPriority w:val="99"/>
    <w:pPr>
      <w:tabs>
        <w:tab w:val="center" w:pos="4153"/>
        <w:tab w:val="right" w:pos="8306"/>
      </w:tabs>
      <w:snapToGrid w:val="0"/>
      <w:jc w:val="left"/>
    </w:pPr>
    <w:rPr>
      <w:sz w:val="18"/>
      <w:szCs w:val="18"/>
    </w:rPr>
  </w:style>
  <w:style w:type="paragraph" w:styleId="26">
    <w:name w:val="header"/>
    <w:basedOn w:val="1"/>
    <w:link w:val="69"/>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pPr>
      <w:spacing w:before="120" w:beforeLines="0" w:after="120" w:afterLines="0"/>
      <w:jc w:val="left"/>
    </w:pPr>
    <w:rPr>
      <w:b/>
      <w:bCs/>
      <w:caps/>
      <w:sz w:val="20"/>
      <w:szCs w:val="20"/>
    </w:rPr>
  </w:style>
  <w:style w:type="paragraph" w:styleId="28">
    <w:name w:val="toc 4"/>
    <w:basedOn w:val="1"/>
    <w:next w:val="1"/>
    <w:qFormat/>
    <w:uiPriority w:val="39"/>
    <w:pPr>
      <w:ind w:left="630"/>
      <w:jc w:val="left"/>
    </w:pPr>
    <w:rPr>
      <w:sz w:val="18"/>
      <w:szCs w:val="18"/>
    </w:rPr>
  </w:style>
  <w:style w:type="paragraph" w:styleId="29">
    <w:name w:val="Subtitle"/>
    <w:next w:val="1"/>
    <w:link w:val="70"/>
    <w:qFormat/>
    <w:uiPriority w:val="11"/>
    <w:pPr>
      <w:adjustRightInd w:val="0"/>
      <w:snapToGrid w:val="0"/>
      <w:ind w:left="708" w:leftChars="295"/>
      <w:outlineLvl w:val="1"/>
    </w:pPr>
    <w:rPr>
      <w:rFonts w:ascii="宋体" w:hAnsi="宋体" w:eastAsia="宋体" w:cs="Times New Roman"/>
      <w:b/>
      <w:bCs/>
      <w:kern w:val="28"/>
      <w:sz w:val="24"/>
      <w:szCs w:val="32"/>
      <w:lang w:bidi="ar-SA"/>
    </w:rPr>
  </w:style>
  <w:style w:type="paragraph" w:styleId="30">
    <w:name w:val="toc 6"/>
    <w:basedOn w:val="1"/>
    <w:next w:val="1"/>
    <w:qFormat/>
    <w:uiPriority w:val="39"/>
    <w:pPr>
      <w:ind w:left="1050"/>
      <w:jc w:val="left"/>
    </w:pPr>
    <w:rPr>
      <w:sz w:val="18"/>
      <w:szCs w:val="18"/>
    </w:rPr>
  </w:style>
  <w:style w:type="paragraph" w:styleId="31">
    <w:name w:val="Body Text Indent 3"/>
    <w:basedOn w:val="1"/>
    <w:qFormat/>
    <w:uiPriority w:val="0"/>
    <w:pPr>
      <w:spacing w:after="120" w:afterLines="0"/>
      <w:ind w:left="420" w:leftChars="200"/>
    </w:pPr>
    <w:rPr>
      <w:sz w:val="16"/>
      <w:szCs w:val="16"/>
    </w:rPr>
  </w:style>
  <w:style w:type="paragraph" w:styleId="32">
    <w:name w:val="toc 2"/>
    <w:basedOn w:val="1"/>
    <w:next w:val="1"/>
    <w:qFormat/>
    <w:uiPriority w:val="39"/>
    <w:pPr>
      <w:ind w:left="210"/>
      <w:jc w:val="left"/>
    </w:pPr>
    <w:rPr>
      <w:smallCaps/>
      <w:sz w:val="20"/>
      <w:szCs w:val="20"/>
    </w:rPr>
  </w:style>
  <w:style w:type="paragraph" w:styleId="33">
    <w:name w:val="toc 9"/>
    <w:basedOn w:val="1"/>
    <w:next w:val="1"/>
    <w:qFormat/>
    <w:uiPriority w:val="39"/>
    <w:pPr>
      <w:ind w:left="1680"/>
      <w:jc w:val="left"/>
    </w:pPr>
    <w:rPr>
      <w:sz w:val="18"/>
      <w:szCs w:val="18"/>
    </w:rPr>
  </w:style>
  <w:style w:type="paragraph" w:styleId="34">
    <w:name w:val="Body Text 2"/>
    <w:basedOn w:val="1"/>
    <w:link w:val="71"/>
    <w:unhideWhenUsed/>
    <w:qFormat/>
    <w:uiPriority w:val="99"/>
    <w:pPr>
      <w:widowControl/>
      <w:wordWrap w:val="0"/>
      <w:topLinePunct/>
      <w:adjustRightInd w:val="0"/>
      <w:snapToGrid w:val="0"/>
      <w:spacing w:after="120" w:afterLines="50" w:line="480" w:lineRule="auto"/>
      <w:ind w:firstLine="480" w:firstLineChars="200"/>
    </w:pPr>
    <w:rPr>
      <w:rFonts w:ascii="Calibri" w:hAnsi="Calibri"/>
      <w:sz w:val="24"/>
      <w:szCs w:val="22"/>
    </w:rPr>
  </w:style>
  <w:style w:type="paragraph" w:styleId="35">
    <w:name w:val="HTML Preformatted"/>
    <w:basedOn w:val="1"/>
    <w:link w:val="72"/>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opLinePunct/>
      <w:jc w:val="left"/>
    </w:pPr>
    <w:rPr>
      <w:rFonts w:ascii="宋体" w:hAnsi="宋体"/>
      <w:kern w:val="0"/>
      <w:sz w:val="24"/>
    </w:rPr>
  </w:style>
  <w:style w:type="paragraph" w:styleId="36">
    <w:name w:val="Normal (Web)"/>
    <w:basedOn w:val="1"/>
    <w:unhideWhenUsed/>
    <w:qFormat/>
    <w:uiPriority w:val="99"/>
    <w:pPr>
      <w:widowControl/>
      <w:jc w:val="left"/>
    </w:pPr>
    <w:rPr>
      <w:rFonts w:ascii="宋体" w:hAnsi="宋体" w:cs="宋体"/>
      <w:kern w:val="0"/>
      <w:sz w:val="24"/>
    </w:rPr>
  </w:style>
  <w:style w:type="paragraph" w:styleId="37">
    <w:name w:val="index 1"/>
    <w:basedOn w:val="1"/>
    <w:next w:val="1"/>
    <w:qFormat/>
    <w:uiPriority w:val="0"/>
    <w:pPr>
      <w:spacing w:line="220" w:lineRule="exact"/>
      <w:jc w:val="center"/>
    </w:pPr>
    <w:rPr>
      <w:rFonts w:ascii="仿宋_GB2312" w:eastAsia="仿宋_GB2312"/>
      <w:szCs w:val="21"/>
    </w:rPr>
  </w:style>
  <w:style w:type="paragraph" w:styleId="38">
    <w:name w:val="Title"/>
    <w:basedOn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39">
    <w:name w:val="annotation subject"/>
    <w:basedOn w:val="14"/>
    <w:next w:val="14"/>
    <w:link w:val="73"/>
    <w:qFormat/>
    <w:uiPriority w:val="0"/>
    <w:pPr>
      <w:jc w:val="both"/>
    </w:pPr>
    <w:rPr>
      <w:b/>
      <w:bCs/>
    </w:rPr>
  </w:style>
  <w:style w:type="paragraph" w:styleId="40">
    <w:name w:val="Body Text First Indent"/>
    <w:basedOn w:val="1"/>
    <w:link w:val="74"/>
    <w:qFormat/>
    <w:uiPriority w:val="0"/>
    <w:pPr>
      <w:spacing w:line="312" w:lineRule="auto"/>
      <w:ind w:firstLine="420"/>
    </w:pPr>
    <w:rPr>
      <w:kern w:val="0"/>
      <w:sz w:val="20"/>
      <w:szCs w:val="20"/>
    </w:rPr>
  </w:style>
  <w:style w:type="table" w:styleId="42">
    <w:name w:val="Table Grid"/>
    <w:basedOn w:val="4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22"/>
    <w:rPr>
      <w:b/>
      <w:bCs/>
    </w:rPr>
  </w:style>
  <w:style w:type="character" w:styleId="45">
    <w:name w:val="page number"/>
    <w:qFormat/>
    <w:uiPriority w:val="0"/>
  </w:style>
  <w:style w:type="character" w:styleId="46">
    <w:name w:val="FollowedHyperlink"/>
    <w:qFormat/>
    <w:uiPriority w:val="0"/>
    <w:rPr>
      <w:color w:val="800080"/>
      <w:u w:val="single"/>
    </w:rPr>
  </w:style>
  <w:style w:type="character" w:styleId="47">
    <w:name w:val="Emphasis"/>
    <w:qFormat/>
    <w:uiPriority w:val="20"/>
    <w:rPr>
      <w:i/>
    </w:rPr>
  </w:style>
  <w:style w:type="character" w:styleId="48">
    <w:name w:val="Hyperlink"/>
    <w:qFormat/>
    <w:uiPriority w:val="99"/>
    <w:rPr>
      <w:color w:val="0000FF"/>
      <w:u w:val="single"/>
    </w:rPr>
  </w:style>
  <w:style w:type="character" w:styleId="49">
    <w:name w:val="annotation reference"/>
    <w:qFormat/>
    <w:uiPriority w:val="0"/>
    <w:rPr>
      <w:sz w:val="21"/>
      <w:szCs w:val="21"/>
    </w:rPr>
  </w:style>
  <w:style w:type="character" w:styleId="50">
    <w:name w:val="footnote reference"/>
    <w:qFormat/>
    <w:uiPriority w:val="0"/>
    <w:rPr>
      <w:vertAlign w:val="superscript"/>
    </w:rPr>
  </w:style>
  <w:style w:type="character" w:customStyle="1" w:styleId="51">
    <w:name w:val="标题 1 字符1"/>
    <w:link w:val="2"/>
    <w:qFormat/>
    <w:uiPriority w:val="0"/>
    <w:rPr>
      <w:b/>
      <w:bCs/>
      <w:kern w:val="44"/>
      <w:sz w:val="44"/>
      <w:szCs w:val="44"/>
    </w:rPr>
  </w:style>
  <w:style w:type="character" w:customStyle="1" w:styleId="52">
    <w:name w:val="标题 2 字符"/>
    <w:link w:val="3"/>
    <w:qFormat/>
    <w:uiPriority w:val="0"/>
    <w:rPr>
      <w:rFonts w:ascii="Arial" w:hAnsi="Arial" w:eastAsia="黑体"/>
      <w:b/>
      <w:bCs/>
      <w:kern w:val="2"/>
      <w:sz w:val="32"/>
      <w:szCs w:val="32"/>
    </w:rPr>
  </w:style>
  <w:style w:type="character" w:customStyle="1" w:styleId="53">
    <w:name w:val="标题 3 字符1"/>
    <w:link w:val="4"/>
    <w:qFormat/>
    <w:uiPriority w:val="0"/>
    <w:rPr>
      <w:rFonts w:ascii="黑体" w:hAnsi="宋体" w:eastAsia="黑体"/>
      <w:bCs/>
      <w:kern w:val="2"/>
      <w:sz w:val="28"/>
      <w:szCs w:val="28"/>
    </w:rPr>
  </w:style>
  <w:style w:type="character" w:customStyle="1" w:styleId="54">
    <w:name w:val="标题 4 字符"/>
    <w:link w:val="5"/>
    <w:qFormat/>
    <w:uiPriority w:val="0"/>
    <w:rPr>
      <w:rFonts w:ascii="Arial" w:hAnsi="Arial" w:eastAsia="黑体"/>
      <w:b/>
      <w:bCs/>
      <w:kern w:val="2"/>
      <w:sz w:val="28"/>
      <w:szCs w:val="28"/>
      <w:lang w:val="en-US" w:eastAsia="zh-CN" w:bidi="ar-SA"/>
    </w:rPr>
  </w:style>
  <w:style w:type="character" w:customStyle="1" w:styleId="55">
    <w:name w:val="标题 5 字符"/>
    <w:link w:val="6"/>
    <w:qFormat/>
    <w:uiPriority w:val="0"/>
    <w:rPr>
      <w:rFonts w:ascii="宋体" w:hAnsi="宋体"/>
      <w:b/>
      <w:bCs/>
      <w:sz w:val="28"/>
      <w:szCs w:val="28"/>
    </w:rPr>
  </w:style>
  <w:style w:type="character" w:customStyle="1" w:styleId="56">
    <w:name w:val="标题 6 字符"/>
    <w:link w:val="7"/>
    <w:qFormat/>
    <w:uiPriority w:val="0"/>
    <w:rPr>
      <w:rFonts w:ascii="Arial" w:hAnsi="Arial" w:eastAsia="黑体"/>
      <w:b/>
      <w:bCs/>
      <w:sz w:val="24"/>
      <w:szCs w:val="24"/>
    </w:rPr>
  </w:style>
  <w:style w:type="character" w:customStyle="1" w:styleId="57">
    <w:name w:val="标题 7 字符"/>
    <w:link w:val="8"/>
    <w:qFormat/>
    <w:uiPriority w:val="0"/>
    <w:rPr>
      <w:b/>
      <w:bCs/>
      <w:sz w:val="24"/>
      <w:szCs w:val="24"/>
    </w:rPr>
  </w:style>
  <w:style w:type="character" w:customStyle="1" w:styleId="58">
    <w:name w:val="标题 8 字符"/>
    <w:link w:val="9"/>
    <w:qFormat/>
    <w:uiPriority w:val="0"/>
    <w:rPr>
      <w:rFonts w:ascii="Arial" w:hAnsi="Arial" w:eastAsia="黑体"/>
      <w:sz w:val="24"/>
      <w:szCs w:val="24"/>
    </w:rPr>
  </w:style>
  <w:style w:type="character" w:customStyle="1" w:styleId="59">
    <w:name w:val="标题 9 字符"/>
    <w:link w:val="10"/>
    <w:qFormat/>
    <w:uiPriority w:val="0"/>
    <w:rPr>
      <w:rFonts w:ascii="Arial" w:hAnsi="Arial" w:eastAsia="黑体"/>
      <w:sz w:val="21"/>
      <w:szCs w:val="21"/>
    </w:rPr>
  </w:style>
  <w:style w:type="character" w:customStyle="1" w:styleId="60">
    <w:name w:val="文档结构图 字符1"/>
    <w:link w:val="13"/>
    <w:qFormat/>
    <w:uiPriority w:val="0"/>
    <w:rPr>
      <w:rFonts w:eastAsia="宋体"/>
      <w:kern w:val="2"/>
      <w:sz w:val="21"/>
      <w:szCs w:val="24"/>
      <w:lang w:val="en-US" w:eastAsia="zh-CN" w:bidi="ar-SA"/>
    </w:rPr>
  </w:style>
  <w:style w:type="character" w:customStyle="1" w:styleId="61">
    <w:name w:val="批注文字 字符1"/>
    <w:link w:val="14"/>
    <w:qFormat/>
    <w:uiPriority w:val="0"/>
    <w:rPr>
      <w:rFonts w:eastAsia="宋体"/>
      <w:kern w:val="2"/>
      <w:sz w:val="21"/>
      <w:szCs w:val="24"/>
      <w:lang w:val="en-US" w:eastAsia="zh-CN" w:bidi="ar-SA"/>
    </w:rPr>
  </w:style>
  <w:style w:type="character" w:customStyle="1" w:styleId="62">
    <w:name w:val="正文文本 3 字符"/>
    <w:link w:val="15"/>
    <w:qFormat/>
    <w:uiPriority w:val="99"/>
    <w:rPr>
      <w:rFonts w:ascii="宋体"/>
      <w:kern w:val="2"/>
      <w:sz w:val="24"/>
    </w:rPr>
  </w:style>
  <w:style w:type="character" w:customStyle="1" w:styleId="63">
    <w:name w:val="正文文本 字符1"/>
    <w:link w:val="16"/>
    <w:qFormat/>
    <w:uiPriority w:val="0"/>
    <w:rPr>
      <w:rFonts w:eastAsia="宋体"/>
      <w:kern w:val="2"/>
      <w:sz w:val="21"/>
      <w:szCs w:val="24"/>
      <w:lang w:val="en-US" w:eastAsia="zh-CN" w:bidi="ar-SA"/>
    </w:rPr>
  </w:style>
  <w:style w:type="character" w:customStyle="1" w:styleId="64">
    <w:name w:val="纯文本 字符"/>
    <w:link w:val="20"/>
    <w:qFormat/>
    <w:uiPriority w:val="0"/>
    <w:rPr>
      <w:rFonts w:ascii="宋体" w:hAnsi="宋体"/>
      <w:kern w:val="2"/>
      <w:sz w:val="24"/>
      <w:szCs w:val="24"/>
      <w:lang w:bidi="ar-SA"/>
    </w:rPr>
  </w:style>
  <w:style w:type="character" w:customStyle="1" w:styleId="65">
    <w:name w:val="日期 字符"/>
    <w:link w:val="22"/>
    <w:qFormat/>
    <w:uiPriority w:val="0"/>
    <w:rPr>
      <w:kern w:val="2"/>
      <w:sz w:val="24"/>
    </w:rPr>
  </w:style>
  <w:style w:type="character" w:customStyle="1" w:styleId="66">
    <w:name w:val="正文文本缩进 2 字符"/>
    <w:link w:val="23"/>
    <w:semiHidden/>
    <w:qFormat/>
    <w:uiPriority w:val="99"/>
    <w:rPr>
      <w:kern w:val="2"/>
      <w:sz w:val="21"/>
      <w:szCs w:val="24"/>
    </w:rPr>
  </w:style>
  <w:style w:type="character" w:customStyle="1" w:styleId="67">
    <w:name w:val="批注框文本 字符"/>
    <w:link w:val="24"/>
    <w:qFormat/>
    <w:uiPriority w:val="99"/>
    <w:rPr>
      <w:kern w:val="2"/>
      <w:sz w:val="18"/>
      <w:szCs w:val="18"/>
    </w:rPr>
  </w:style>
  <w:style w:type="character" w:customStyle="1" w:styleId="68">
    <w:name w:val="页脚 字符1"/>
    <w:link w:val="25"/>
    <w:qFormat/>
    <w:uiPriority w:val="99"/>
    <w:rPr>
      <w:rFonts w:eastAsia="宋体"/>
      <w:kern w:val="2"/>
      <w:sz w:val="18"/>
      <w:szCs w:val="18"/>
      <w:lang w:val="en-US" w:eastAsia="zh-CN" w:bidi="ar-SA"/>
    </w:rPr>
  </w:style>
  <w:style w:type="character" w:customStyle="1" w:styleId="69">
    <w:name w:val="页眉 字符1"/>
    <w:link w:val="26"/>
    <w:qFormat/>
    <w:uiPriority w:val="0"/>
    <w:rPr>
      <w:rFonts w:eastAsia="宋体"/>
      <w:kern w:val="2"/>
      <w:sz w:val="18"/>
      <w:szCs w:val="18"/>
      <w:lang w:val="en-US" w:eastAsia="zh-CN" w:bidi="ar-SA"/>
    </w:rPr>
  </w:style>
  <w:style w:type="character" w:customStyle="1" w:styleId="70">
    <w:name w:val="副标题 字符"/>
    <w:link w:val="29"/>
    <w:qFormat/>
    <w:uiPriority w:val="11"/>
    <w:rPr>
      <w:rFonts w:ascii="宋体" w:hAnsi="宋体"/>
      <w:b/>
      <w:bCs/>
      <w:kern w:val="28"/>
      <w:sz w:val="24"/>
      <w:szCs w:val="32"/>
      <w:lang w:bidi="ar-SA"/>
    </w:rPr>
  </w:style>
  <w:style w:type="character" w:customStyle="1" w:styleId="71">
    <w:name w:val="正文文本 2 字符"/>
    <w:link w:val="34"/>
    <w:qFormat/>
    <w:uiPriority w:val="99"/>
    <w:rPr>
      <w:rFonts w:ascii="Calibri" w:hAnsi="Calibri"/>
      <w:kern w:val="2"/>
      <w:sz w:val="24"/>
      <w:szCs w:val="22"/>
    </w:rPr>
  </w:style>
  <w:style w:type="character" w:customStyle="1" w:styleId="72">
    <w:name w:val="HTML 预设格式 字符"/>
    <w:link w:val="35"/>
    <w:qFormat/>
    <w:uiPriority w:val="99"/>
    <w:rPr>
      <w:rFonts w:ascii="宋体" w:hAnsi="宋体" w:cs="宋体"/>
      <w:sz w:val="24"/>
      <w:szCs w:val="24"/>
    </w:rPr>
  </w:style>
  <w:style w:type="character" w:customStyle="1" w:styleId="73">
    <w:name w:val="批注主题 字符1"/>
    <w:link w:val="39"/>
    <w:qFormat/>
    <w:uiPriority w:val="0"/>
    <w:rPr>
      <w:rFonts w:eastAsia="宋体"/>
      <w:b/>
      <w:bCs/>
      <w:kern w:val="2"/>
      <w:sz w:val="21"/>
      <w:szCs w:val="24"/>
      <w:lang w:val="en-US" w:eastAsia="zh-CN" w:bidi="ar-SA"/>
    </w:rPr>
  </w:style>
  <w:style w:type="character" w:customStyle="1" w:styleId="74">
    <w:name w:val="正文首行缩进 字符"/>
    <w:link w:val="40"/>
    <w:qFormat/>
    <w:uiPriority w:val="0"/>
    <w:rPr>
      <w:lang w:val="en-US" w:eastAsia="zh-CN" w:bidi="ar-SA"/>
    </w:rPr>
  </w:style>
  <w:style w:type="character" w:styleId="75">
    <w:name w:val="Placeholder Text"/>
    <w:unhideWhenUsed/>
    <w:qFormat/>
    <w:uiPriority w:val="99"/>
    <w:rPr>
      <w:color w:val="808080"/>
    </w:rPr>
  </w:style>
  <w:style w:type="character" w:customStyle="1" w:styleId="76">
    <w:name w:val="纯文本 Char"/>
    <w:semiHidden/>
    <w:qFormat/>
    <w:uiPriority w:val="99"/>
    <w:rPr>
      <w:rFonts w:ascii="宋体" w:hAnsi="Courier New" w:cs="Courier New"/>
      <w:kern w:val="2"/>
      <w:sz w:val="21"/>
      <w:szCs w:val="21"/>
    </w:rPr>
  </w:style>
  <w:style w:type="character" w:customStyle="1" w:styleId="77">
    <w:name w:val="search-in-page-highlight-item"/>
    <w:qFormat/>
    <w:uiPriority w:val="0"/>
  </w:style>
  <w:style w:type="character" w:customStyle="1" w:styleId="78">
    <w:name w:val="文档结构图 字符"/>
    <w:semiHidden/>
    <w:qFormat/>
    <w:uiPriority w:val="99"/>
    <w:rPr>
      <w:rFonts w:ascii="宋体" w:hAnsi="Calibri" w:cs="Times New Roman"/>
      <w:kern w:val="2"/>
      <w:sz w:val="24"/>
      <w:szCs w:val="24"/>
    </w:rPr>
  </w:style>
  <w:style w:type="character" w:customStyle="1" w:styleId="79">
    <w:name w:val="副标题 Char"/>
    <w:qFormat/>
    <w:uiPriority w:val="11"/>
    <w:rPr>
      <w:rFonts w:ascii="Cambria" w:hAnsi="Cambria" w:cs="Times New Roman"/>
      <w:b/>
      <w:bCs/>
      <w:kern w:val="28"/>
      <w:sz w:val="32"/>
      <w:szCs w:val="32"/>
    </w:rPr>
  </w:style>
  <w:style w:type="character" w:customStyle="1" w:styleId="80">
    <w:name w:val="正文1"/>
    <w:qFormat/>
    <w:uiPriority w:val="0"/>
    <w:rPr>
      <w:rFonts w:ascii="宋体" w:hAnsi="宋体"/>
      <w:color w:val="000000"/>
    </w:rPr>
  </w:style>
  <w:style w:type="character" w:customStyle="1" w:styleId="81">
    <w:name w:val="content"/>
    <w:qFormat/>
    <w:uiPriority w:val="0"/>
  </w:style>
  <w:style w:type="character" w:customStyle="1" w:styleId="82">
    <w:name w:val="未处理的提及2"/>
    <w:unhideWhenUsed/>
    <w:qFormat/>
    <w:uiPriority w:val="99"/>
    <w:rPr>
      <w:color w:val="605E5C"/>
      <w:shd w:val="clear" w:color="auto" w:fill="E1DFDD"/>
    </w:rPr>
  </w:style>
  <w:style w:type="character" w:customStyle="1" w:styleId="83">
    <w:name w:val="标题 3 字符"/>
    <w:qFormat/>
    <w:uiPriority w:val="0"/>
    <w:rPr>
      <w:rFonts w:ascii="宋体" w:hAnsi="Calibri" w:cs="Times New Roman"/>
      <w:b/>
      <w:kern w:val="2"/>
      <w:sz w:val="24"/>
      <w:szCs w:val="22"/>
    </w:rPr>
  </w:style>
  <w:style w:type="character" w:customStyle="1" w:styleId="84">
    <w:name w:val="HTML 预设格式 Char"/>
    <w:semiHidden/>
    <w:qFormat/>
    <w:uiPriority w:val="99"/>
    <w:rPr>
      <w:rFonts w:ascii="Courier New" w:hAnsi="Courier New" w:cs="Courier New"/>
      <w:kern w:val="2"/>
    </w:rPr>
  </w:style>
  <w:style w:type="character" w:customStyle="1" w:styleId="85">
    <w:name w:val="font161"/>
    <w:qFormat/>
    <w:uiPriority w:val="0"/>
    <w:rPr>
      <w:b/>
      <w:bCs/>
      <w:sz w:val="32"/>
      <w:szCs w:val="32"/>
    </w:rPr>
  </w:style>
  <w:style w:type="character" w:customStyle="1" w:styleId="86">
    <w:name w:val="样式1 字符"/>
    <w:link w:val="87"/>
    <w:qFormat/>
    <w:uiPriority w:val="0"/>
    <w:rPr>
      <w:rFonts w:ascii="宋体" w:hAnsi="宋体"/>
      <w:kern w:val="2"/>
      <w:sz w:val="21"/>
      <w:szCs w:val="21"/>
    </w:rPr>
  </w:style>
  <w:style w:type="paragraph" w:customStyle="1" w:styleId="87">
    <w:name w:val="样式1"/>
    <w:basedOn w:val="1"/>
    <w:next w:val="5"/>
    <w:link w:val="86"/>
    <w:qFormat/>
    <w:uiPriority w:val="0"/>
    <w:pPr>
      <w:spacing w:line="360" w:lineRule="auto"/>
      <w:ind w:firstLine="420" w:firstLineChars="200"/>
    </w:pPr>
    <w:rPr>
      <w:rFonts w:ascii="宋体" w:hAnsi="宋体"/>
      <w:szCs w:val="21"/>
    </w:rPr>
  </w:style>
  <w:style w:type="character" w:customStyle="1" w:styleId="88">
    <w:name w:val="refer-count"/>
    <w:qFormat/>
    <w:uiPriority w:val="0"/>
  </w:style>
  <w:style w:type="character" w:customStyle="1" w:styleId="89">
    <w:name w:val="law-parenthese"/>
    <w:qFormat/>
    <w:uiPriority w:val="0"/>
  </w:style>
  <w:style w:type="character" w:customStyle="1" w:styleId="90">
    <w:name w:val="批注主题 字符"/>
    <w:semiHidden/>
    <w:qFormat/>
    <w:uiPriority w:val="99"/>
    <w:rPr>
      <w:rFonts w:ascii="Calibri" w:hAnsi="Calibri" w:eastAsia="宋体" w:cs="Times New Roman"/>
      <w:b/>
      <w:bCs/>
      <w:kern w:val="2"/>
      <w:sz w:val="24"/>
      <w:szCs w:val="22"/>
    </w:rPr>
  </w:style>
  <w:style w:type="character" w:customStyle="1" w:styleId="91">
    <w:name w:val="标题 1 字符"/>
    <w:qFormat/>
    <w:uiPriority w:val="9"/>
    <w:rPr>
      <w:rFonts w:eastAsia="宋体" w:cs="Times New Roman"/>
      <w:b/>
      <w:kern w:val="44"/>
      <w:sz w:val="30"/>
      <w:szCs w:val="22"/>
    </w:rPr>
  </w:style>
  <w:style w:type="character" w:customStyle="1" w:styleId="92">
    <w:name w:val="正文文本 2 Char"/>
    <w:semiHidden/>
    <w:qFormat/>
    <w:uiPriority w:val="99"/>
    <w:rPr>
      <w:kern w:val="2"/>
      <w:sz w:val="21"/>
      <w:szCs w:val="24"/>
    </w:rPr>
  </w:style>
  <w:style w:type="character" w:customStyle="1" w:styleId="93">
    <w:name w:val="批注文字 字符"/>
    <w:qFormat/>
    <w:uiPriority w:val="99"/>
    <w:rPr>
      <w:rFonts w:ascii="Calibri" w:hAnsi="Calibri" w:eastAsia="宋体" w:cs="Times New Roman"/>
      <w:kern w:val="2"/>
      <w:sz w:val="24"/>
      <w:szCs w:val="22"/>
    </w:rPr>
  </w:style>
  <w:style w:type="character" w:customStyle="1" w:styleId="94">
    <w:name w:val="标题 5 Char"/>
    <w:semiHidden/>
    <w:qFormat/>
    <w:uiPriority w:val="9"/>
    <w:rPr>
      <w:b/>
      <w:bCs/>
      <w:kern w:val="2"/>
      <w:sz w:val="28"/>
      <w:szCs w:val="28"/>
    </w:rPr>
  </w:style>
  <w:style w:type="character" w:customStyle="1" w:styleId="95">
    <w:name w:val="未处理的提及1"/>
    <w:unhideWhenUsed/>
    <w:qFormat/>
    <w:uiPriority w:val="99"/>
    <w:rPr>
      <w:color w:val="605E5C"/>
      <w:shd w:val="clear" w:color="auto" w:fill="E1DFDD"/>
    </w:rPr>
  </w:style>
  <w:style w:type="character" w:customStyle="1" w:styleId="96">
    <w:name w:val="未处理的提及3"/>
    <w:unhideWhenUsed/>
    <w:qFormat/>
    <w:uiPriority w:val="99"/>
    <w:rPr>
      <w:color w:val="605E5C"/>
      <w:shd w:val="clear" w:color="auto" w:fill="E1DFDD"/>
    </w:rPr>
  </w:style>
  <w:style w:type="character" w:customStyle="1" w:styleId="97">
    <w:name w:val="页脚 字符"/>
    <w:qFormat/>
    <w:uiPriority w:val="99"/>
    <w:rPr>
      <w:rFonts w:ascii="宋体" w:hAnsi="宋体" w:cs="Times New Roman"/>
      <w:kern w:val="2"/>
      <w:sz w:val="18"/>
      <w:szCs w:val="18"/>
    </w:rPr>
  </w:style>
  <w:style w:type="character" w:customStyle="1" w:styleId="98">
    <w:name w:val="页眉 字符"/>
    <w:qFormat/>
    <w:uiPriority w:val="99"/>
    <w:rPr>
      <w:rFonts w:ascii="宋体" w:hAnsi="宋体" w:cs="Times New Roman"/>
      <w:kern w:val="2"/>
      <w:sz w:val="18"/>
      <w:szCs w:val="18"/>
    </w:rPr>
  </w:style>
  <w:style w:type="character" w:customStyle="1" w:styleId="99">
    <w:name w:val="search-in-page-highlight-wrapper"/>
    <w:qFormat/>
    <w:uiPriority w:val="0"/>
  </w:style>
  <w:style w:type="character" w:customStyle="1" w:styleId="100">
    <w:name w:val="正文文本 字符"/>
    <w:qFormat/>
    <w:uiPriority w:val="99"/>
    <w:rPr>
      <w:rFonts w:ascii="Calibri" w:hAnsi="Calibri" w:eastAsia="宋体" w:cs="Times New Roman"/>
      <w:kern w:val="2"/>
      <w:sz w:val="24"/>
      <w:szCs w:val="22"/>
    </w:rPr>
  </w:style>
  <w:style w:type="paragraph" w:customStyle="1" w:styleId="101">
    <w:name w:val="通用标题3"/>
    <w:next w:val="1"/>
    <w:qFormat/>
    <w:uiPriority w:val="0"/>
    <w:pPr>
      <w:widowControl w:val="0"/>
      <w:numPr>
        <w:ilvl w:val="1"/>
        <w:numId w:val="1"/>
      </w:numPr>
      <w:tabs>
        <w:tab w:val="left" w:pos="851"/>
        <w:tab w:val="clear" w:pos="840"/>
      </w:tabs>
      <w:adjustRightInd w:val="0"/>
      <w:snapToGrid w:val="0"/>
      <w:spacing w:after="120" w:afterLines="50" w:line="360" w:lineRule="auto"/>
      <w:jc w:val="both"/>
      <w:outlineLvl w:val="2"/>
    </w:pPr>
    <w:rPr>
      <w:rFonts w:ascii="黑体" w:hAnsi="黑体" w:eastAsia="黑体" w:cs="Times New Roman"/>
      <w:b/>
      <w:kern w:val="2"/>
      <w:sz w:val="24"/>
      <w:szCs w:val="24"/>
      <w:lang w:val="en-US" w:eastAsia="zh-CN" w:bidi="ar-SA"/>
    </w:rPr>
  </w:style>
  <w:style w:type="paragraph" w:customStyle="1" w:styleId="102">
    <w:name w:val="样式8"/>
    <w:basedOn w:val="1"/>
    <w:qFormat/>
    <w:uiPriority w:val="0"/>
    <w:pPr>
      <w:widowControl/>
      <w:wordWrap w:val="0"/>
      <w:topLinePunct/>
      <w:autoSpaceDE w:val="0"/>
      <w:autoSpaceDN w:val="0"/>
      <w:adjustRightInd w:val="0"/>
      <w:ind w:left="1274" w:leftChars="531" w:firstLine="2"/>
    </w:pPr>
    <w:rPr>
      <w:rFonts w:ascii="宋体" w:hAnsi="宋体"/>
      <w:bCs/>
      <w:kern w:val="0"/>
      <w:sz w:val="24"/>
      <w:szCs w:val="20"/>
    </w:rPr>
  </w:style>
  <w:style w:type="paragraph" w:customStyle="1" w:styleId="103">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Cs w:val="0"/>
      <w:sz w:val="24"/>
      <w:szCs w:val="20"/>
    </w:rPr>
  </w:style>
  <w:style w:type="paragraph" w:customStyle="1" w:styleId="104">
    <w:name w:val="LIST ALPHA CAPS 2"/>
    <w:basedOn w:val="1"/>
    <w:next w:val="34"/>
    <w:qFormat/>
    <w:uiPriority w:val="0"/>
    <w:pPr>
      <w:widowControl/>
      <w:numPr>
        <w:ilvl w:val="1"/>
        <w:numId w:val="2"/>
      </w:numPr>
      <w:tabs>
        <w:tab w:val="left" w:pos="50"/>
        <w:tab w:val="left" w:pos="1417"/>
      </w:tabs>
      <w:wordWrap w:val="0"/>
      <w:topLinePunct/>
      <w:adjustRightInd w:val="0"/>
      <w:snapToGrid w:val="0"/>
      <w:spacing w:after="200" w:afterLines="50" w:line="288" w:lineRule="auto"/>
      <w:ind w:firstLineChars="200"/>
    </w:pPr>
    <w:rPr>
      <w:rFonts w:ascii="CG Times" w:hAnsi="CG Times"/>
      <w:kern w:val="0"/>
      <w:sz w:val="22"/>
      <w:szCs w:val="20"/>
      <w:lang w:val="en-GB"/>
    </w:rPr>
  </w:style>
  <w:style w:type="paragraph" w:customStyle="1" w:styleId="105">
    <w:name w:val="LIST ALPHA CAPS 3"/>
    <w:basedOn w:val="1"/>
    <w:next w:val="15"/>
    <w:qFormat/>
    <w:uiPriority w:val="0"/>
    <w:pPr>
      <w:widowControl/>
      <w:numPr>
        <w:ilvl w:val="2"/>
        <w:numId w:val="2"/>
      </w:numPr>
      <w:tabs>
        <w:tab w:val="left" w:pos="68"/>
        <w:tab w:val="left" w:pos="1928"/>
      </w:tabs>
      <w:wordWrap w:val="0"/>
      <w:topLinePunct/>
      <w:adjustRightInd w:val="0"/>
      <w:snapToGrid w:val="0"/>
      <w:spacing w:after="200" w:afterLines="50" w:line="288" w:lineRule="auto"/>
      <w:ind w:firstLineChars="200"/>
    </w:pPr>
    <w:rPr>
      <w:rFonts w:ascii="CG Times" w:hAnsi="CG Times"/>
      <w:kern w:val="0"/>
      <w:sz w:val="22"/>
      <w:szCs w:val="20"/>
      <w:lang w:val="en-GB"/>
    </w:rPr>
  </w:style>
  <w:style w:type="paragraph" w:customStyle="1" w:styleId="106">
    <w:name w:val="小标题"/>
    <w:qFormat/>
    <w:uiPriority w:val="0"/>
    <w:pPr>
      <w:tabs>
        <w:tab w:val="left" w:pos="993"/>
      </w:tabs>
      <w:adjustRightInd w:val="0"/>
      <w:snapToGrid w:val="0"/>
    </w:pPr>
    <w:rPr>
      <w:rFonts w:ascii="Times New Roman" w:hAnsi="Times New Roman" w:eastAsia="宋体" w:cs="Times New Roman"/>
      <w:bCs/>
      <w:kern w:val="2"/>
      <w:sz w:val="24"/>
      <w:szCs w:val="22"/>
      <w:lang w:val="en-US" w:eastAsia="zh-CN" w:bidi="ar-SA"/>
    </w:rPr>
  </w:style>
  <w:style w:type="paragraph" w:customStyle="1" w:styleId="107">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108">
    <w:name w:val="附件标题1"/>
    <w:next w:val="1"/>
    <w:qFormat/>
    <w:uiPriority w:val="0"/>
    <w:pPr>
      <w:numPr>
        <w:ilvl w:val="0"/>
        <w:numId w:val="3"/>
      </w:numPr>
      <w:tabs>
        <w:tab w:val="left" w:pos="567"/>
      </w:tabs>
      <w:adjustRightInd w:val="0"/>
      <w:snapToGrid w:val="0"/>
      <w:spacing w:after="120" w:afterLines="50" w:line="312" w:lineRule="auto"/>
    </w:pPr>
    <w:rPr>
      <w:rFonts w:ascii="黑体" w:hAnsi="黑体" w:eastAsia="黑体" w:cs="Times New Roman"/>
      <w:b/>
      <w:kern w:val="2"/>
      <w:sz w:val="24"/>
      <w:szCs w:val="24"/>
      <w:lang w:val="en-US" w:eastAsia="zh-CN" w:bidi="ar-SA"/>
    </w:rPr>
  </w:style>
  <w:style w:type="paragraph" w:customStyle="1" w:styleId="109">
    <w:name w:val="1"/>
    <w:basedOn w:val="1"/>
    <w:qFormat/>
    <w:uiPriority w:val="0"/>
  </w:style>
  <w:style w:type="paragraph" w:customStyle="1" w:styleId="110">
    <w:name w:val="通用标题7"/>
    <w:basedOn w:val="1"/>
    <w:qFormat/>
    <w:uiPriority w:val="0"/>
    <w:pPr>
      <w:widowControl/>
      <w:numPr>
        <w:ilvl w:val="5"/>
        <w:numId w:val="4"/>
      </w:numPr>
      <w:wordWrap w:val="0"/>
      <w:topLinePunct/>
      <w:adjustRightInd w:val="0"/>
      <w:snapToGrid w:val="0"/>
      <w:spacing w:after="120" w:afterLines="50" w:line="360" w:lineRule="auto"/>
      <w:ind w:firstLineChars="200"/>
    </w:pPr>
    <w:rPr>
      <w:rFonts w:ascii="宋体" w:hAnsi="宋体"/>
      <w:kern w:val="0"/>
      <w:sz w:val="24"/>
      <w:szCs w:val="20"/>
    </w:rPr>
  </w:style>
  <w:style w:type="paragraph" w:customStyle="1" w:styleId="111">
    <w:name w:val="List ALPHA CAPS 1"/>
    <w:basedOn w:val="1"/>
    <w:next w:val="16"/>
    <w:qFormat/>
    <w:uiPriority w:val="0"/>
    <w:pPr>
      <w:widowControl/>
      <w:numPr>
        <w:ilvl w:val="0"/>
        <w:numId w:val="2"/>
      </w:numPr>
      <w:tabs>
        <w:tab w:val="left" w:pos="22"/>
        <w:tab w:val="left" w:pos="624"/>
      </w:tabs>
      <w:wordWrap w:val="0"/>
      <w:topLinePunct/>
      <w:adjustRightInd w:val="0"/>
      <w:snapToGrid w:val="0"/>
      <w:spacing w:after="200" w:afterLines="50" w:line="288" w:lineRule="auto"/>
      <w:ind w:firstLineChars="200"/>
    </w:pPr>
    <w:rPr>
      <w:rFonts w:ascii="CG Times" w:hAnsi="CG Times"/>
      <w:kern w:val="0"/>
      <w:sz w:val="22"/>
      <w:szCs w:val="20"/>
      <w:lang w:val="en-GB"/>
    </w:rPr>
  </w:style>
  <w:style w:type="paragraph" w:customStyle="1" w:styleId="112">
    <w:name w:val="正文_0"/>
    <w:qFormat/>
    <w:uiPriority w:val="0"/>
    <w:pPr>
      <w:widowControl w:val="0"/>
      <w:jc w:val="both"/>
    </w:pPr>
    <w:rPr>
      <w:rFonts w:ascii="仿宋_GB2312" w:hAnsi="Times New Roman" w:eastAsia="仿宋_GB2312" w:cs="Times New Roman"/>
      <w:kern w:val="2"/>
      <w:sz w:val="32"/>
      <w:szCs w:val="32"/>
      <w:lang w:val="en-US" w:eastAsia="zh-CN" w:bidi="ar-SA"/>
    </w:rPr>
  </w:style>
  <w:style w:type="paragraph" w:customStyle="1" w:styleId="113">
    <w:name w:val="Char1"/>
    <w:basedOn w:val="1"/>
    <w:qFormat/>
    <w:uiPriority w:val="0"/>
    <w:pPr>
      <w:tabs>
        <w:tab w:val="left" w:pos="360"/>
      </w:tabs>
    </w:pPr>
    <w:rPr>
      <w:sz w:val="24"/>
    </w:rPr>
  </w:style>
  <w:style w:type="paragraph" w:customStyle="1" w:styleId="114">
    <w:name w:val="Title 4 Chinese"/>
    <w:qFormat/>
    <w:uiPriority w:val="0"/>
    <w:pPr>
      <w:ind w:left="1276"/>
    </w:pPr>
    <w:rPr>
      <w:rFonts w:ascii="Times New Roman" w:hAnsi="Times New Roman" w:eastAsia="宋体" w:cs="Times New Roman"/>
      <w:kern w:val="2"/>
      <w:sz w:val="24"/>
      <w:szCs w:val="24"/>
      <w:lang w:val="en-US" w:eastAsia="zh-CN" w:bidi="ar-SA"/>
    </w:rPr>
  </w:style>
  <w:style w:type="paragraph" w:customStyle="1" w:styleId="115">
    <w:name w:val="TOC 标题1"/>
    <w:basedOn w:val="2"/>
    <w:next w:val="1"/>
    <w:unhideWhenUsed/>
    <w:qFormat/>
    <w:uiPriority w:val="39"/>
    <w:pPr>
      <w:keepNext w:val="0"/>
      <w:keepLines w:val="0"/>
      <w:widowControl/>
      <w:adjustRightInd w:val="0"/>
      <w:snapToGrid w:val="0"/>
      <w:spacing w:before="240" w:after="0" w:line="259" w:lineRule="auto"/>
      <w:jc w:val="left"/>
      <w:outlineLvl w:val="9"/>
    </w:pPr>
    <w:rPr>
      <w:rFonts w:ascii="Calibri Light" w:hAnsi="Calibri Light"/>
      <w:b w:val="0"/>
      <w:bCs w:val="0"/>
      <w:color w:val="2E75B5"/>
      <w:kern w:val="0"/>
      <w:sz w:val="32"/>
      <w:szCs w:val="32"/>
    </w:rPr>
  </w:style>
  <w:style w:type="paragraph" w:customStyle="1" w:styleId="116">
    <w:name w:val="Char Char Char Char Char Char Char Char Char Char Char Char Char"/>
    <w:basedOn w:val="1"/>
    <w:qFormat/>
    <w:uiPriority w:val="0"/>
    <w:rPr>
      <w:rFonts w:ascii="宋体" w:hAnsi="宋体"/>
      <w:sz w:val="24"/>
    </w:rPr>
  </w:style>
  <w:style w:type="paragraph" w:customStyle="1" w:styleId="117">
    <w:name w:val="表格文字"/>
    <w:basedOn w:val="1"/>
    <w:qFormat/>
    <w:uiPriority w:val="0"/>
    <w:pPr>
      <w:adjustRightInd w:val="0"/>
      <w:spacing w:line="420" w:lineRule="atLeast"/>
      <w:jc w:val="left"/>
      <w:textAlignment w:val="baseline"/>
    </w:pPr>
    <w:rPr>
      <w:kern w:val="0"/>
      <w:szCs w:val="20"/>
    </w:rPr>
  </w:style>
  <w:style w:type="paragraph" w:customStyle="1" w:styleId="118">
    <w:name w:val="样式3"/>
    <w:next w:val="1"/>
    <w:qFormat/>
    <w:uiPriority w:val="0"/>
    <w:pPr>
      <w:numPr>
        <w:ilvl w:val="2"/>
        <w:numId w:val="5"/>
      </w:numPr>
    </w:pPr>
    <w:rPr>
      <w:rFonts w:ascii="Times New Roman" w:hAnsi="Times New Roman" w:eastAsia="宋体" w:cs="Times New Roman"/>
      <w:bCs/>
      <w:kern w:val="2"/>
      <w:sz w:val="24"/>
      <w:szCs w:val="24"/>
      <w:lang w:val="en-US" w:eastAsia="zh-CN" w:bidi="ar-SA"/>
    </w:rPr>
  </w:style>
  <w:style w:type="paragraph" w:customStyle="1" w:styleId="11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0">
    <w:name w:val="Title 5"/>
    <w:next w:val="121"/>
    <w:qFormat/>
    <w:uiPriority w:val="0"/>
    <w:pPr>
      <w:numPr>
        <w:ilvl w:val="0"/>
        <w:numId w:val="6"/>
      </w:numPr>
      <w:ind w:left="1701" w:hanging="426"/>
      <w:jc w:val="both"/>
    </w:pPr>
    <w:rPr>
      <w:rFonts w:ascii="Times New Roman" w:hAnsi="Times New Roman" w:eastAsia="宋体" w:cs="Times New Roman"/>
      <w:kern w:val="2"/>
      <w:sz w:val="24"/>
      <w:szCs w:val="24"/>
      <w:lang w:val="en-US" w:eastAsia="zh-CN" w:bidi="ar-SA"/>
    </w:rPr>
  </w:style>
  <w:style w:type="paragraph" w:customStyle="1" w:styleId="121">
    <w:name w:val="Title 5 Chinese"/>
    <w:qFormat/>
    <w:uiPriority w:val="0"/>
    <w:pPr>
      <w:ind w:left="1701"/>
    </w:pPr>
    <w:rPr>
      <w:rFonts w:ascii="Times New Roman" w:hAnsi="Times New Roman" w:eastAsia="宋体" w:cs="Times New Roman"/>
      <w:kern w:val="2"/>
      <w:sz w:val="24"/>
      <w:szCs w:val="24"/>
      <w:lang w:val="en-US" w:eastAsia="zh-CN" w:bidi="ar-SA"/>
    </w:rPr>
  </w:style>
  <w:style w:type="paragraph" w:customStyle="1" w:styleId="122">
    <w:name w:val="通用标题5"/>
    <w:qFormat/>
    <w:uiPriority w:val="0"/>
    <w:pPr>
      <w:widowControl w:val="0"/>
      <w:numPr>
        <w:ilvl w:val="3"/>
        <w:numId w:val="1"/>
      </w:numPr>
      <w:tabs>
        <w:tab w:val="left" w:pos="1134"/>
      </w:tabs>
      <w:autoSpaceDE w:val="0"/>
      <w:autoSpaceDN w:val="0"/>
      <w:adjustRightInd w:val="0"/>
      <w:snapToGrid w:val="0"/>
      <w:spacing w:after="120" w:afterLines="50" w:line="360" w:lineRule="auto"/>
      <w:jc w:val="both"/>
    </w:pPr>
    <w:rPr>
      <w:rFonts w:ascii="宋体" w:hAnsi="宋体" w:eastAsia="宋体" w:cs="Times New Roman"/>
      <w:kern w:val="2"/>
      <w:sz w:val="24"/>
      <w:szCs w:val="21"/>
      <w:lang w:val="en-US" w:eastAsia="zh-CN" w:bidi="ar-SA"/>
    </w:rPr>
  </w:style>
  <w:style w:type="paragraph" w:customStyle="1" w:styleId="123">
    <w:name w:val="Revision"/>
    <w:qFormat/>
    <w:uiPriority w:val="0"/>
    <w:rPr>
      <w:rFonts w:ascii="Times New Roman" w:hAnsi="Times New Roman" w:eastAsia="宋体" w:cs="Times New Roman"/>
      <w:kern w:val="2"/>
      <w:sz w:val="21"/>
      <w:szCs w:val="24"/>
      <w:lang w:val="en-US" w:eastAsia="zh-CN" w:bidi="ar-SA"/>
    </w:rPr>
  </w:style>
  <w:style w:type="paragraph" w:customStyle="1" w:styleId="124">
    <w:name w:val="Title 4"/>
    <w:next w:val="114"/>
    <w:qFormat/>
    <w:uiPriority w:val="0"/>
    <w:pPr>
      <w:numPr>
        <w:ilvl w:val="0"/>
        <w:numId w:val="7"/>
      </w:numPr>
      <w:ind w:left="1276" w:hanging="562"/>
      <w:jc w:val="both"/>
    </w:pPr>
    <w:rPr>
      <w:rFonts w:ascii="Times New Roman" w:hAnsi="Times New Roman" w:eastAsia="宋体" w:cs="Times New Roman"/>
      <w:kern w:val="2"/>
      <w:sz w:val="24"/>
      <w:szCs w:val="24"/>
      <w:lang w:val="en-US" w:eastAsia="zh-CN" w:bidi="ar-SA"/>
    </w:rPr>
  </w:style>
  <w:style w:type="paragraph" w:customStyle="1" w:styleId="125">
    <w:name w:val="through-content"/>
    <w:basedOn w:val="1"/>
    <w:qFormat/>
    <w:uiPriority w:val="0"/>
    <w:pPr>
      <w:widowControl/>
      <w:wordWrap w:val="0"/>
      <w:topLinePunct/>
      <w:spacing w:before="100" w:beforeAutospacing="1" w:after="100" w:afterAutospacing="1"/>
      <w:jc w:val="left"/>
    </w:pPr>
    <w:rPr>
      <w:rFonts w:ascii="宋体" w:hAnsi="宋体" w:cs="宋体"/>
      <w:kern w:val="0"/>
      <w:sz w:val="24"/>
      <w:szCs w:val="20"/>
    </w:rPr>
  </w:style>
  <w:style w:type="paragraph" w:customStyle="1" w:styleId="126">
    <w:name w:val="通用标题6"/>
    <w:basedOn w:val="1"/>
    <w:qFormat/>
    <w:uiPriority w:val="0"/>
    <w:pPr>
      <w:widowControl/>
      <w:numPr>
        <w:ilvl w:val="4"/>
        <w:numId w:val="8"/>
      </w:numPr>
      <w:tabs>
        <w:tab w:val="left" w:pos="993"/>
      </w:tabs>
      <w:adjustRightInd w:val="0"/>
      <w:snapToGrid w:val="0"/>
      <w:spacing w:after="120" w:afterLines="50" w:line="360" w:lineRule="auto"/>
      <w:ind w:firstLine="0"/>
    </w:pPr>
    <w:rPr>
      <w:rFonts w:ascii="宋体" w:hAnsi="宋体"/>
      <w:kern w:val="0"/>
      <w:sz w:val="24"/>
      <w:szCs w:val="20"/>
    </w:rPr>
  </w:style>
  <w:style w:type="paragraph" w:customStyle="1" w:styleId="127">
    <w:name w:val="Char"/>
    <w:basedOn w:val="1"/>
    <w:qFormat/>
    <w:uiPriority w:val="0"/>
    <w:pPr>
      <w:tabs>
        <w:tab w:val="left" w:pos="360"/>
      </w:tabs>
    </w:pPr>
    <w:rPr>
      <w:sz w:val="24"/>
    </w:rPr>
  </w:style>
  <w:style w:type="paragraph" w:customStyle="1" w:styleId="128">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paragraph" w:styleId="129">
    <w:name w:val="List Paragraph"/>
    <w:basedOn w:val="1"/>
    <w:qFormat/>
    <w:uiPriority w:val="0"/>
    <w:pPr>
      <w:ind w:firstLine="420" w:firstLineChars="200"/>
    </w:pPr>
  </w:style>
  <w:style w:type="paragraph" w:customStyle="1" w:styleId="130">
    <w:name w:val="_Style 52"/>
    <w:basedOn w:val="1"/>
    <w:next w:val="1"/>
    <w:unhideWhenUsed/>
    <w:qFormat/>
    <w:uiPriority w:val="39"/>
    <w:pPr>
      <w:widowControl/>
      <w:wordWrap w:val="0"/>
      <w:topLinePunct/>
      <w:adjustRightInd w:val="0"/>
      <w:snapToGrid w:val="0"/>
      <w:spacing w:after="120" w:afterLines="50" w:line="360" w:lineRule="auto"/>
      <w:ind w:left="2520" w:leftChars="1200" w:firstLine="480" w:firstLineChars="200"/>
    </w:pPr>
    <w:rPr>
      <w:rFonts w:ascii="宋体" w:hAnsi="宋体"/>
      <w:kern w:val="0"/>
      <w:szCs w:val="20"/>
    </w:rPr>
  </w:style>
  <w:style w:type="paragraph" w:customStyle="1" w:styleId="131">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132">
    <w:name w:val="通用标题2"/>
    <w:basedOn w:val="3"/>
    <w:next w:val="1"/>
    <w:qFormat/>
    <w:uiPriority w:val="0"/>
    <w:pPr>
      <w:keepNext w:val="0"/>
      <w:keepLines w:val="0"/>
      <w:widowControl/>
      <w:numPr>
        <w:ilvl w:val="0"/>
        <w:numId w:val="4"/>
      </w:numPr>
      <w:tabs>
        <w:tab w:val="left" w:pos="993"/>
      </w:tabs>
      <w:wordWrap w:val="0"/>
      <w:topLinePunct/>
      <w:adjustRightInd w:val="0"/>
      <w:snapToGrid w:val="0"/>
      <w:spacing w:before="0" w:after="120" w:afterLines="50" w:line="360" w:lineRule="auto"/>
    </w:pPr>
    <w:rPr>
      <w:rFonts w:ascii="黑体" w:hAnsi="黑体"/>
      <w:bCs w:val="0"/>
      <w:kern w:val="0"/>
      <w:sz w:val="28"/>
      <w:szCs w:val="20"/>
    </w:rPr>
  </w:style>
  <w:style w:type="paragraph" w:customStyle="1" w:styleId="133">
    <w:name w:val="专用标题4"/>
    <w:basedOn w:val="5"/>
    <w:next w:val="1"/>
    <w:qFormat/>
    <w:uiPriority w:val="0"/>
    <w:pPr>
      <w:widowControl/>
      <w:numPr>
        <w:ilvl w:val="2"/>
        <w:numId w:val="9"/>
      </w:numPr>
      <w:adjustRightInd w:val="0"/>
      <w:snapToGrid w:val="0"/>
      <w:spacing w:before="0" w:after="0" w:line="240" w:lineRule="auto"/>
      <w:jc w:val="left"/>
    </w:pPr>
    <w:rPr>
      <w:rFonts w:eastAsia="宋体"/>
      <w:b w:val="0"/>
      <w:bCs w:val="0"/>
      <w:szCs w:val="22"/>
    </w:rPr>
  </w:style>
  <w:style w:type="paragraph" w:customStyle="1" w:styleId="134">
    <w:name w:val="TOC 标题2"/>
    <w:basedOn w:val="2"/>
    <w:next w:val="1"/>
    <w:qFormat/>
    <w:uiPriority w:val="0"/>
    <w:pPr>
      <w:spacing w:before="260" w:after="260" w:line="413" w:lineRule="auto"/>
      <w:jc w:val="center"/>
    </w:pPr>
    <w:rPr>
      <w:rFonts w:ascii="宋体" w:hAnsi="宋体"/>
      <w:sz w:val="36"/>
      <w:lang w:val="zh-CN"/>
    </w:rPr>
  </w:style>
  <w:style w:type="paragraph" w:customStyle="1" w:styleId="135">
    <w:name w:val="Main Title"/>
    <w:next w:val="1"/>
    <w:qFormat/>
    <w:uiPriority w:val="0"/>
    <w:pPr>
      <w:adjustRightInd w:val="0"/>
      <w:snapToGrid w:val="0"/>
      <w:spacing w:after="120" w:afterLines="50" w:line="360" w:lineRule="auto"/>
      <w:jc w:val="center"/>
    </w:pPr>
    <w:rPr>
      <w:rFonts w:ascii="黑体" w:hAnsi="黑体" w:eastAsia="黑体" w:cs="Times New Roman"/>
      <w:b/>
      <w:kern w:val="2"/>
      <w:sz w:val="36"/>
      <w:szCs w:val="22"/>
      <w:lang w:val="zh-CN" w:eastAsia="zh-CN" w:bidi="ar-SA"/>
    </w:rPr>
  </w:style>
  <w:style w:type="paragraph" w:customStyle="1" w:styleId="136">
    <w:name w:val="通用标题4"/>
    <w:next w:val="1"/>
    <w:qFormat/>
    <w:uiPriority w:val="0"/>
    <w:pPr>
      <w:numPr>
        <w:ilvl w:val="2"/>
        <w:numId w:val="6"/>
      </w:numPr>
      <w:tabs>
        <w:tab w:val="left" w:pos="851"/>
      </w:tabs>
      <w:adjustRightInd w:val="0"/>
      <w:snapToGrid w:val="0"/>
      <w:spacing w:after="120" w:afterLines="50" w:line="360" w:lineRule="auto"/>
      <w:jc w:val="both"/>
      <w:outlineLvl w:val="3"/>
    </w:pPr>
    <w:rPr>
      <w:rFonts w:ascii="宋体" w:hAnsi="宋体" w:eastAsia="宋体" w:cs="Times New Roman"/>
      <w:kern w:val="2"/>
      <w:sz w:val="24"/>
      <w:szCs w:val="21"/>
      <w:lang w:val="en-US" w:eastAsia="zh-CN" w:bidi="ar-SA"/>
    </w:rPr>
  </w:style>
  <w:style w:type="paragraph" w:customStyle="1" w:styleId="137">
    <w:name w:val="协议书标题2"/>
    <w:basedOn w:val="3"/>
    <w:next w:val="1"/>
    <w:qFormat/>
    <w:uiPriority w:val="0"/>
    <w:pPr>
      <w:keepNext w:val="0"/>
      <w:keepLines w:val="0"/>
      <w:widowControl/>
      <w:numPr>
        <w:ilvl w:val="0"/>
        <w:numId w:val="10"/>
      </w:numPr>
      <w:tabs>
        <w:tab w:val="left" w:pos="567"/>
      </w:tabs>
      <w:wordWrap w:val="0"/>
      <w:topLinePunct/>
      <w:adjustRightInd w:val="0"/>
      <w:snapToGrid w:val="0"/>
      <w:spacing w:before="0" w:after="120" w:afterLines="50" w:line="360" w:lineRule="auto"/>
      <w:ind w:firstLine="0"/>
      <w:jc w:val="left"/>
    </w:pPr>
    <w:rPr>
      <w:rFonts w:ascii="宋体" w:hAnsi="宋体" w:eastAsia="宋体"/>
      <w:bCs w:val="0"/>
      <w:kern w:val="0"/>
      <w:sz w:val="24"/>
      <w:szCs w:val="20"/>
    </w:rPr>
  </w:style>
  <w:style w:type="paragraph" w:customStyle="1" w:styleId="138">
    <w:name w:val="专用标题2"/>
    <w:basedOn w:val="3"/>
    <w:next w:val="1"/>
    <w:qFormat/>
    <w:uiPriority w:val="0"/>
    <w:pPr>
      <w:keepNext w:val="0"/>
      <w:keepLines w:val="0"/>
      <w:widowControl/>
      <w:tabs>
        <w:tab w:val="left" w:pos="993"/>
      </w:tabs>
      <w:adjustRightInd w:val="0"/>
      <w:snapToGrid w:val="0"/>
      <w:spacing w:before="0" w:after="120" w:afterLines="50" w:line="360" w:lineRule="auto"/>
    </w:pPr>
    <w:rPr>
      <w:rFonts w:ascii="宋体" w:hAnsi="宋体" w:eastAsia="宋体" w:cs="Times"/>
      <w:bCs w:val="0"/>
      <w:kern w:val="0"/>
      <w:sz w:val="28"/>
      <w:szCs w:val="20"/>
    </w:rPr>
  </w:style>
  <w:style w:type="paragraph" w:customStyle="1" w:styleId="139">
    <w:name w:val="附件标题"/>
    <w:basedOn w:val="3"/>
    <w:next w:val="1"/>
    <w:qFormat/>
    <w:uiPriority w:val="0"/>
    <w:pPr>
      <w:widowControl/>
      <w:numPr>
        <w:ilvl w:val="0"/>
        <w:numId w:val="11"/>
      </w:numPr>
      <w:tabs>
        <w:tab w:val="left" w:pos="1134"/>
      </w:tabs>
      <w:wordWrap w:val="0"/>
      <w:topLinePunct/>
      <w:adjustRightInd w:val="0"/>
      <w:snapToGrid w:val="0"/>
      <w:spacing w:before="0" w:after="120" w:afterLines="50" w:line="360" w:lineRule="auto"/>
      <w:ind w:firstLine="0"/>
      <w:jc w:val="center"/>
    </w:pPr>
    <w:rPr>
      <w:rFonts w:ascii="黑体" w:hAnsi="黑体"/>
      <w:bCs w:val="0"/>
      <w:kern w:val="0"/>
      <w:sz w:val="30"/>
      <w:szCs w:val="30"/>
    </w:rPr>
  </w:style>
  <w:style w:type="paragraph" w:customStyle="1" w:styleId="140">
    <w:name w:val="_Style 139"/>
    <w:semiHidden/>
    <w:qFormat/>
    <w:uiPriority w:val="99"/>
    <w:rPr>
      <w:rFonts w:ascii="Times New Roman" w:hAnsi="Times New Roman" w:eastAsia="宋体" w:cs="Times New Roman"/>
      <w:kern w:val="2"/>
      <w:sz w:val="21"/>
      <w:szCs w:val="24"/>
      <w:lang w:val="en-US" w:eastAsia="zh-CN" w:bidi="ar-SA"/>
    </w:rPr>
  </w:style>
  <w:style w:type="paragraph" w:customStyle="1" w:styleId="141">
    <w:name w:val="表格"/>
    <w:basedOn w:val="1"/>
    <w:qFormat/>
    <w:uiPriority w:val="0"/>
    <w:pPr>
      <w:jc w:val="center"/>
      <w:textAlignment w:val="center"/>
    </w:pPr>
    <w:rPr>
      <w:rFonts w:ascii="华文细黑" w:hAnsi="华文细黑"/>
      <w:kern w:val="0"/>
      <w:szCs w:val="20"/>
    </w:rPr>
  </w:style>
  <w:style w:type="paragraph" w:customStyle="1" w:styleId="142">
    <w:name w:val="缩进2中"/>
    <w:qFormat/>
    <w:uiPriority w:val="0"/>
    <w:pPr>
      <w:ind w:left="708" w:leftChars="295"/>
      <w:jc w:val="both"/>
    </w:pPr>
    <w:rPr>
      <w:rFonts w:ascii="Times" w:hAnsi="Times" w:eastAsia="宋体" w:cs="Times New Roman"/>
      <w:kern w:val="2"/>
      <w:sz w:val="24"/>
      <w:szCs w:val="22"/>
      <w:lang w:val="en-US" w:eastAsia="zh-CN" w:bidi="ar-SA"/>
    </w:rPr>
  </w:style>
  <w:style w:type="paragraph" w:customStyle="1" w:styleId="143">
    <w:name w:val="样式2"/>
    <w:basedOn w:val="4"/>
    <w:qFormat/>
    <w:uiPriority w:val="0"/>
    <w:rPr>
      <w:i/>
    </w:rPr>
  </w:style>
  <w:style w:type="paragraph" w:customStyle="1" w:styleId="144">
    <w:name w:val="修订1"/>
    <w:semiHidden/>
    <w:qFormat/>
    <w:uiPriority w:val="99"/>
    <w:rPr>
      <w:rFonts w:ascii="宋体" w:hAnsi="Calibri" w:eastAsia="宋体" w:cs="Times New Roman"/>
      <w:kern w:val="2"/>
      <w:sz w:val="24"/>
      <w:szCs w:val="22"/>
      <w:lang w:val="en-US" w:eastAsia="zh-CN" w:bidi="ar-SA"/>
    </w:rPr>
  </w:style>
  <w:style w:type="paragraph" w:customStyle="1" w:styleId="145">
    <w:name w:val="专用标题3"/>
    <w:basedOn w:val="4"/>
    <w:qFormat/>
    <w:uiPriority w:val="0"/>
    <w:pPr>
      <w:widowControl/>
      <w:numPr>
        <w:ilvl w:val="1"/>
        <w:numId w:val="9"/>
      </w:numPr>
      <w:wordWrap w:val="0"/>
      <w:topLinePunct/>
      <w:adjustRightInd w:val="0"/>
      <w:snapToGrid w:val="0"/>
      <w:spacing w:before="0" w:after="120" w:afterLines="50" w:line="360" w:lineRule="auto"/>
      <w:ind w:firstLineChars="0"/>
      <w:jc w:val="left"/>
    </w:pPr>
    <w:rPr>
      <w:rFonts w:ascii="宋体" w:eastAsia="宋体"/>
      <w:b/>
      <w:bCs w:val="0"/>
      <w:kern w:val="0"/>
      <w:sz w:val="24"/>
      <w:szCs w:val="20"/>
    </w:rPr>
  </w:style>
  <w:style w:type="paragraph" w:customStyle="1" w:styleId="14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table" w:customStyle="1" w:styleId="147">
    <w:name w:val="网格型1"/>
    <w:basedOn w:val="41"/>
    <w:qFormat/>
    <w:uiPriority w:val="39"/>
    <w:rPr>
      <w:rFonts w:ascii="Calibri" w:hAnsi="Calibri" w:eastAsia="Times New Roman"/>
      <w:kern w:val="2"/>
      <w:sz w:val="21"/>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48">
    <w:name w:val="TableGri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106</Pages>
  <Words>42031</Words>
  <Characters>44261</Characters>
  <Lines>427</Lines>
  <Paragraphs>120</Paragraphs>
  <TotalTime>0</TotalTime>
  <ScaleCrop>false</ScaleCrop>
  <LinksUpToDate>false</LinksUpToDate>
  <CharactersWithSpaces>51167</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2021-05-31T19:56:00Z</dcterms:created>
  <dc:creator>1</dc:creator>
  <cp:lastModifiedBy>u001</cp:lastModifiedBy>
  <cp:lastPrinted>2021-08-01T15:34:00Z</cp:lastPrinted>
  <dcterms:modified xsi:type="dcterms:W3CDTF">2024-11-21T10:01:33Z</dcterms:modified>
  <dc:title>中华人民共和国</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92116884DFFB46B09F639EC5D121E3D7</vt:lpwstr>
  </property>
</Properties>
</file>