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水利生产经营单位问题隐患清单</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单位（项目）名称：</w:t>
      </w:r>
    </w:p>
    <w:tbl>
      <w:tblPr>
        <w:tblStyle w:val="5"/>
        <w:tblW w:w="14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795"/>
        <w:gridCol w:w="1255"/>
        <w:gridCol w:w="4127"/>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479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问题隐患</w:t>
            </w:r>
          </w:p>
        </w:tc>
        <w:tc>
          <w:tcPr>
            <w:tcW w:w="125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隐患类别</w:t>
            </w:r>
          </w:p>
        </w:tc>
        <w:tc>
          <w:tcPr>
            <w:tcW w:w="4127"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整改措施</w:t>
            </w:r>
          </w:p>
        </w:tc>
        <w:tc>
          <w:tcPr>
            <w:tcW w:w="3259"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7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p>
        </w:tc>
        <w:tc>
          <w:tcPr>
            <w:tcW w:w="4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p>
        </w:tc>
        <w:tc>
          <w:tcPr>
            <w:tcW w:w="4795" w:type="dxa"/>
            <w:vAlign w:val="center"/>
          </w:tcPr>
          <w:p>
            <w:pPr>
              <w:keepNext w:val="0"/>
              <w:keepLines w:val="0"/>
              <w:pageBreakBefore w:val="0"/>
              <w:widowControl w:val="0"/>
              <w:kinsoku/>
              <w:wordWrap/>
              <w:overflowPunct/>
              <w:topLinePunct w:val="0"/>
              <w:autoSpaceDE/>
              <w:autoSpaceDN/>
              <w:bidi w:val="0"/>
              <w:adjustRightInd/>
              <w:snapToGrid w:val="0"/>
              <w:ind w:right="947" w:rightChars="451"/>
              <w:jc w:val="left"/>
              <w:textAlignment w:val="auto"/>
              <w:rPr>
                <w:rFonts w:hint="eastAsia" w:ascii="黑体" w:hAnsi="黑体" w:eastAsia="黑体" w:cs="黑体"/>
                <w:sz w:val="24"/>
                <w:szCs w:val="24"/>
                <w:vertAlign w:val="baseline"/>
                <w:lang w:eastAsia="zh-C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4036" w:rightChars="1922"/>
              <w:jc w:val="left"/>
              <w:textAlignment w:val="auto"/>
              <w:rPr>
                <w:rFonts w:hint="eastAsia" w:ascii="仿宋" w:hAnsi="仿宋" w:eastAsia="仿宋" w:cs="仿宋"/>
                <w:sz w:val="24"/>
                <w:szCs w:val="24"/>
                <w:lang w:val="en-US" w:eastAsia="zh-CN"/>
              </w:rPr>
            </w:pPr>
          </w:p>
        </w:tc>
        <w:tc>
          <w:tcPr>
            <w:tcW w:w="4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黑体" w:hAnsi="黑体" w:eastAsia="黑体" w:cs="黑体"/>
                <w:sz w:val="24"/>
                <w:szCs w:val="24"/>
                <w:vertAlign w:val="baseline"/>
                <w:lang w:val="en-US"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47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c>
          <w:tcPr>
            <w:tcW w:w="41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4795"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c>
          <w:tcPr>
            <w:tcW w:w="41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47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c>
          <w:tcPr>
            <w:tcW w:w="41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47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c>
          <w:tcPr>
            <w:tcW w:w="41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sz w:val="24"/>
                <w:szCs w:val="24"/>
                <w:lang w:val="en-US"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47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c>
          <w:tcPr>
            <w:tcW w:w="41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47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c>
          <w:tcPr>
            <w:tcW w:w="41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47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c>
          <w:tcPr>
            <w:tcW w:w="41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r>
    </w:tbl>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隐患类别为重大、一般。</w:t>
      </w:r>
    </w:p>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2.地方各级水行政主管部门和流域管理机构汇总管辖范围的问题隐患清单由水利安全生产监管信息系统自动生成。</w:t>
      </w:r>
    </w:p>
    <w:p>
      <w:pPr>
        <w:jc w:val="left"/>
        <w:rPr>
          <w:rFonts w:hint="eastAsia" w:ascii="仿宋" w:hAnsi="仿宋" w:eastAsia="仿宋" w:cs="仿宋"/>
          <w:sz w:val="32"/>
          <w:szCs w:val="32"/>
          <w:lang w:eastAsia="zh-CN"/>
        </w:rPr>
      </w:pPr>
    </w:p>
    <w:p>
      <w:pPr>
        <w:jc w:val="left"/>
        <w:rPr>
          <w:rFonts w:hint="eastAsia" w:ascii="仿宋" w:hAnsi="仿宋" w:eastAsia="仿宋" w:cs="仿宋"/>
          <w:sz w:val="32"/>
          <w:szCs w:val="32"/>
          <w:lang w:eastAsia="zh-CN"/>
        </w:rPr>
      </w:pPr>
    </w:p>
    <w:p>
      <w:pPr>
        <w:jc w:val="left"/>
        <w:rPr>
          <w:rFonts w:hint="eastAsia" w:ascii="仿宋" w:hAnsi="仿宋" w:eastAsia="仿宋" w:cs="仿宋"/>
          <w:sz w:val="32"/>
          <w:szCs w:val="32"/>
          <w:lang w:eastAsia="zh-CN"/>
        </w:rPr>
      </w:pPr>
    </w:p>
    <w:p>
      <w:pPr>
        <w:jc w:val="left"/>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水利生产经营单位制度措施清单</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w:t>
      </w:r>
    </w:p>
    <w:tbl>
      <w:tblPr>
        <w:tblStyle w:val="5"/>
        <w:tblW w:w="14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027"/>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10027"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拟制定（修订）的制度措施名称</w:t>
            </w:r>
          </w:p>
        </w:tc>
        <w:tc>
          <w:tcPr>
            <w:tcW w:w="3259"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0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p>
        </w:tc>
        <w:tc>
          <w:tcPr>
            <w:tcW w:w="10027" w:type="dxa"/>
            <w:vAlign w:val="center"/>
          </w:tcPr>
          <w:p>
            <w:pPr>
              <w:keepNext w:val="0"/>
              <w:keepLines w:val="0"/>
              <w:pageBreakBefore w:val="0"/>
              <w:widowControl w:val="0"/>
              <w:kinsoku/>
              <w:wordWrap/>
              <w:overflowPunct/>
              <w:topLinePunct w:val="0"/>
              <w:autoSpaceDE/>
              <w:autoSpaceDN/>
              <w:bidi w:val="0"/>
              <w:adjustRightInd/>
              <w:snapToGrid w:val="0"/>
              <w:ind w:right="947" w:rightChars="451"/>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00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10027"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100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100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100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00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002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p>
        </w:tc>
        <w:tc>
          <w:tcPr>
            <w:tcW w:w="325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24"/>
                <w:szCs w:val="24"/>
                <w:lang w:val="en-US" w:eastAsia="zh-CN"/>
              </w:rPr>
            </w:pPr>
          </w:p>
        </w:tc>
      </w:tr>
    </w:tbl>
    <w:p>
      <w:pPr>
        <w:jc w:val="left"/>
        <w:rPr>
          <w:rFonts w:hint="eastAsia" w:ascii="仿宋" w:hAnsi="仿宋" w:eastAsia="仿宋" w:cs="仿宋"/>
          <w:sz w:val="32"/>
          <w:szCs w:val="32"/>
          <w:lang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1.地方各级水行政主管部门和流域管理机构汇总管辖范围内制度措施</w:t>
      </w:r>
      <w:bookmarkStart w:id="0" w:name="_GoBack"/>
      <w:bookmarkEnd w:id="0"/>
      <w:r>
        <w:rPr>
          <w:rFonts w:hint="eastAsia" w:ascii="仿宋" w:hAnsi="仿宋" w:eastAsia="仿宋" w:cs="仿宋"/>
          <w:sz w:val="24"/>
          <w:szCs w:val="24"/>
          <w:lang w:val="en-US" w:eastAsia="zh-CN"/>
        </w:rPr>
        <w:t>清单由水利安全生产监管信息系统自动生成。</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82641"/>
    <w:rsid w:val="051F00E8"/>
    <w:rsid w:val="0A130417"/>
    <w:rsid w:val="10277536"/>
    <w:rsid w:val="107818DD"/>
    <w:rsid w:val="12DB565C"/>
    <w:rsid w:val="2A235C1E"/>
    <w:rsid w:val="2D674D55"/>
    <w:rsid w:val="34227D6D"/>
    <w:rsid w:val="342F0A56"/>
    <w:rsid w:val="399E6DB1"/>
    <w:rsid w:val="3AB14F67"/>
    <w:rsid w:val="3BE85CD5"/>
    <w:rsid w:val="41382641"/>
    <w:rsid w:val="45167A40"/>
    <w:rsid w:val="455C5244"/>
    <w:rsid w:val="50DC72EA"/>
    <w:rsid w:val="53C7646C"/>
    <w:rsid w:val="54CA26E9"/>
    <w:rsid w:val="5B06713A"/>
    <w:rsid w:val="62907D89"/>
    <w:rsid w:val="69440301"/>
    <w:rsid w:val="7B356D4F"/>
    <w:rsid w:val="7BB31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2020-04-17T01:33:00Z</dcterms:created>
  <dc:creator>＆灯火阑珊</dc:creator>
  <cp:lastModifiedBy>user</cp:lastModifiedBy>
  <dcterms:modified xsi:type="dcterms:W3CDTF">2020-04-28T08:17:00Z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